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255F6" w14:textId="7DA38E8C" w:rsidR="00EE2A46" w:rsidRPr="00212ECE" w:rsidRDefault="00EE2A46" w:rsidP="00EE2A46">
      <w:pPr>
        <w:pBdr>
          <w:bottom w:val="single" w:sz="6" w:space="1" w:color="auto"/>
        </w:pBdr>
        <w:rPr>
          <w:b/>
          <w:bCs/>
          <w:sz w:val="28"/>
          <w:szCs w:val="28"/>
        </w:rPr>
      </w:pPr>
      <w:r w:rsidRPr="00212ECE">
        <w:rPr>
          <w:b/>
          <w:bCs/>
          <w:sz w:val="28"/>
          <w:szCs w:val="28"/>
        </w:rPr>
        <w:t xml:space="preserve">Conversation </w:t>
      </w:r>
      <w:r w:rsidR="005E1AF5">
        <w:rPr>
          <w:b/>
          <w:bCs/>
          <w:sz w:val="28"/>
          <w:szCs w:val="28"/>
        </w:rPr>
        <w:t>With</w:t>
      </w:r>
      <w:r w:rsidRPr="00212ECE">
        <w:rPr>
          <w:b/>
          <w:bCs/>
          <w:sz w:val="28"/>
          <w:szCs w:val="28"/>
        </w:rPr>
        <w:t xml:space="preserve"> ChatGPT:</w:t>
      </w:r>
      <w:r w:rsidRPr="00212ECE">
        <w:rPr>
          <w:b/>
          <w:bCs/>
          <w:sz w:val="28"/>
          <w:szCs w:val="28"/>
        </w:rPr>
        <w:br/>
      </w:r>
      <w:r w:rsidR="00CD3762">
        <w:rPr>
          <w:b/>
          <w:bCs/>
          <w:sz w:val="28"/>
          <w:szCs w:val="28"/>
        </w:rPr>
        <w:t>What If Libraries Became Our Next Civic Superpower?</w:t>
      </w:r>
    </w:p>
    <w:p w14:paraId="5B08AB50" w14:textId="46B75362" w:rsidR="00EE2A46" w:rsidRDefault="00EE2A46" w:rsidP="00EE2A46">
      <w:pPr>
        <w:jc w:val="center"/>
        <w:rPr>
          <w:sz w:val="20"/>
          <w:szCs w:val="20"/>
        </w:rPr>
      </w:pPr>
      <w:r>
        <w:rPr>
          <w:noProof/>
        </w:rPr>
        <w:drawing>
          <wp:inline distT="0" distB="0" distL="0" distR="0" wp14:anchorId="76A0F9F2" wp14:editId="18A1A99C">
            <wp:extent cx="746760" cy="261273"/>
            <wp:effectExtent l="0" t="0" r="0" b="5715"/>
            <wp:docPr id="1369053573" name="Picture 8">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053573" name="Picture 8">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5317" cy="281761"/>
                    </a:xfrm>
                    <a:prstGeom prst="rect">
                      <a:avLst/>
                    </a:prstGeom>
                    <a:noFill/>
                    <a:ln>
                      <a:noFill/>
                    </a:ln>
                  </pic:spPr>
                </pic:pic>
              </a:graphicData>
            </a:graphic>
          </wp:inline>
        </w:drawing>
      </w:r>
      <w:r>
        <w:br/>
      </w:r>
      <w:hyperlink r:id="rId9" w:history="1">
        <w:r w:rsidR="007A40C8" w:rsidRPr="00512810">
          <w:rPr>
            <w:rStyle w:val="Hyperlink"/>
            <w:sz w:val="20"/>
            <w:szCs w:val="20"/>
          </w:rPr>
          <w:t>https://creativecommons.org/licenses/by-nc-sa/4.0/</w:t>
        </w:r>
      </w:hyperlink>
      <w:r w:rsidR="007A40C8">
        <w:rPr>
          <w:sz w:val="20"/>
          <w:szCs w:val="20"/>
        </w:rPr>
        <w:t xml:space="preserve"> </w:t>
      </w:r>
      <w:r>
        <w:rPr>
          <w:sz w:val="20"/>
          <w:szCs w:val="20"/>
        </w:rPr>
        <w:br/>
      </w:r>
      <w:r w:rsidRPr="008622A1">
        <w:rPr>
          <w:sz w:val="20"/>
          <w:szCs w:val="20"/>
        </w:rPr>
        <w:t>Attribution-</w:t>
      </w:r>
      <w:proofErr w:type="spellStart"/>
      <w:r w:rsidRPr="008622A1">
        <w:rPr>
          <w:sz w:val="20"/>
          <w:szCs w:val="20"/>
        </w:rPr>
        <w:t>NonCommercial</w:t>
      </w:r>
      <w:proofErr w:type="spellEnd"/>
      <w:r w:rsidRPr="008622A1">
        <w:rPr>
          <w:sz w:val="20"/>
          <w:szCs w:val="20"/>
        </w:rPr>
        <w:t>-</w:t>
      </w:r>
      <w:proofErr w:type="spellStart"/>
      <w:r w:rsidRPr="008622A1">
        <w:rPr>
          <w:sz w:val="20"/>
          <w:szCs w:val="20"/>
        </w:rPr>
        <w:t>ShareAlike</w:t>
      </w:r>
      <w:proofErr w:type="spellEnd"/>
    </w:p>
    <w:p w14:paraId="4FC1925B" w14:textId="77777777" w:rsidR="00EE2A46" w:rsidRDefault="00000000" w:rsidP="00EE2A46">
      <w:r>
        <w:pict w14:anchorId="088A5A71">
          <v:rect id="_x0000_i1025" style="width:0;height:1.5pt" o:hralign="center" o:hrstd="t" o:hr="t" fillcolor="#a0a0a0" stroked="f"/>
        </w:pict>
      </w:r>
    </w:p>
    <w:p w14:paraId="48316054" w14:textId="755A04FE" w:rsidR="00140F6C" w:rsidRPr="00EE2A46" w:rsidRDefault="008635A2" w:rsidP="00EE2A46">
      <w:pPr>
        <w:rPr>
          <w:sz w:val="20"/>
          <w:szCs w:val="20"/>
        </w:rPr>
      </w:pPr>
      <w:r w:rsidRPr="005E1AF5">
        <w:rPr>
          <w:sz w:val="20"/>
          <w:szCs w:val="20"/>
        </w:rPr>
        <w:t>(</w:t>
      </w:r>
      <w:r w:rsidR="00140F6C" w:rsidRPr="005E1AF5">
        <w:rPr>
          <w:sz w:val="20"/>
          <w:szCs w:val="20"/>
        </w:rPr>
        <w:t xml:space="preserve">Transcript </w:t>
      </w:r>
      <w:r w:rsidRPr="005E1AF5">
        <w:rPr>
          <w:sz w:val="20"/>
          <w:szCs w:val="20"/>
        </w:rPr>
        <w:t>from</w:t>
      </w:r>
      <w:r w:rsidR="00140F6C" w:rsidRPr="005E1AF5">
        <w:rPr>
          <w:sz w:val="20"/>
          <w:szCs w:val="20"/>
        </w:rPr>
        <w:t xml:space="preserve"> the </w:t>
      </w:r>
      <w:r w:rsidRPr="005E1AF5">
        <w:rPr>
          <w:sz w:val="20"/>
          <w:szCs w:val="20"/>
        </w:rPr>
        <w:t xml:space="preserve">2026 </w:t>
      </w:r>
      <w:r w:rsidR="00140F6C" w:rsidRPr="005E1AF5">
        <w:rPr>
          <w:sz w:val="20"/>
          <w:szCs w:val="20"/>
        </w:rPr>
        <w:t xml:space="preserve">ChatGPT 5.2 </w:t>
      </w:r>
      <w:proofErr w:type="gramStart"/>
      <w:r w:rsidR="00140F6C" w:rsidRPr="005E1AF5">
        <w:rPr>
          <w:sz w:val="20"/>
          <w:szCs w:val="20"/>
        </w:rPr>
        <w:t>conversation</w:t>
      </w:r>
      <w:r w:rsidR="006C61B9">
        <w:rPr>
          <w:sz w:val="20"/>
          <w:szCs w:val="20"/>
        </w:rPr>
        <w:t>,</w:t>
      </w:r>
      <w:r w:rsidR="00140F6C" w:rsidRPr="005E1AF5">
        <w:rPr>
          <w:sz w:val="20"/>
          <w:szCs w:val="20"/>
        </w:rPr>
        <w:t xml:space="preserve">  </w:t>
      </w:r>
      <w:r w:rsidRPr="005E1AF5">
        <w:rPr>
          <w:sz w:val="20"/>
          <w:szCs w:val="20"/>
        </w:rPr>
        <w:t>“</w:t>
      </w:r>
      <w:proofErr w:type="gramEnd"/>
      <w:r w:rsidR="000E3E3A">
        <w:rPr>
          <w:sz w:val="20"/>
          <w:szCs w:val="20"/>
        </w:rPr>
        <w:t>--&gt;Branch-</w:t>
      </w:r>
      <w:r w:rsidRPr="005E1AF5">
        <w:rPr>
          <w:sz w:val="20"/>
          <w:szCs w:val="20"/>
        </w:rPr>
        <w:t>History of US Libraries</w:t>
      </w:r>
      <w:r w:rsidR="000E3E3A">
        <w:rPr>
          <w:sz w:val="20"/>
          <w:szCs w:val="20"/>
        </w:rPr>
        <w:t>-narrative-version-1-0</w:t>
      </w:r>
      <w:r w:rsidRPr="005E1AF5">
        <w:rPr>
          <w:sz w:val="20"/>
          <w:szCs w:val="20"/>
        </w:rPr>
        <w:t>”)</w:t>
      </w:r>
    </w:p>
    <w:p w14:paraId="40881ABC" w14:textId="5A501DA4" w:rsidR="00EE2A46" w:rsidRPr="00140F6C" w:rsidRDefault="00EE2A46" w:rsidP="00EE2A46">
      <w:pPr>
        <w:rPr>
          <w:b/>
          <w:bCs/>
        </w:rPr>
      </w:pPr>
      <w:r w:rsidRPr="00140F6C">
        <w:rPr>
          <w:b/>
          <w:bCs/>
        </w:rPr>
        <w:t>Table of Prompts:</w:t>
      </w:r>
    </w:p>
    <w:p w14:paraId="7804B196" w14:textId="12922CB6" w:rsidR="005746D8" w:rsidRDefault="00661BC8">
      <w:pPr>
        <w:pStyle w:val="TOC1"/>
        <w:tabs>
          <w:tab w:val="right" w:leader="dot" w:pos="10790"/>
        </w:tabs>
        <w:rPr>
          <w:rFonts w:eastAsiaTheme="minorEastAsia"/>
          <w:noProof/>
        </w:rPr>
      </w:pPr>
      <w:r>
        <w:fldChar w:fldCharType="begin"/>
      </w:r>
      <w:r>
        <w:instrText xml:space="preserve"> TOC \h \z \u \t "Heading 2,1" </w:instrText>
      </w:r>
      <w:r>
        <w:fldChar w:fldCharType="separate"/>
      </w:r>
      <w:hyperlink w:anchor="_Toc223021749" w:history="1">
        <w:r w:rsidR="005746D8" w:rsidRPr="009A709D">
          <w:rPr>
            <w:rStyle w:val="Hyperlink"/>
            <w:noProof/>
          </w:rPr>
          <w:t>Public libraries in America have a long history. Please describe the history in terms of the proponents, politics, and purposes. Include a description of the current status.</w:t>
        </w:r>
        <w:r w:rsidR="005746D8">
          <w:rPr>
            <w:noProof/>
            <w:webHidden/>
          </w:rPr>
          <w:tab/>
        </w:r>
        <w:r w:rsidR="005746D8">
          <w:rPr>
            <w:noProof/>
            <w:webHidden/>
          </w:rPr>
          <w:fldChar w:fldCharType="begin"/>
        </w:r>
        <w:r w:rsidR="005746D8">
          <w:rPr>
            <w:noProof/>
            <w:webHidden/>
          </w:rPr>
          <w:instrText xml:space="preserve"> PAGEREF _Toc223021749 \h </w:instrText>
        </w:r>
        <w:r w:rsidR="005746D8">
          <w:rPr>
            <w:noProof/>
            <w:webHidden/>
          </w:rPr>
        </w:r>
        <w:r w:rsidR="005746D8">
          <w:rPr>
            <w:noProof/>
            <w:webHidden/>
          </w:rPr>
          <w:fldChar w:fldCharType="separate"/>
        </w:r>
        <w:r w:rsidR="005746D8">
          <w:rPr>
            <w:noProof/>
            <w:webHidden/>
          </w:rPr>
          <w:t>1</w:t>
        </w:r>
        <w:r w:rsidR="005746D8">
          <w:rPr>
            <w:noProof/>
            <w:webHidden/>
          </w:rPr>
          <w:fldChar w:fldCharType="end"/>
        </w:r>
      </w:hyperlink>
    </w:p>
    <w:p w14:paraId="671DAD05" w14:textId="3E07558D" w:rsidR="005746D8" w:rsidRDefault="005746D8">
      <w:pPr>
        <w:pStyle w:val="TOC1"/>
        <w:tabs>
          <w:tab w:val="right" w:leader="dot" w:pos="10790"/>
        </w:tabs>
        <w:rPr>
          <w:rFonts w:eastAsiaTheme="minorEastAsia"/>
          <w:noProof/>
        </w:rPr>
      </w:pPr>
      <w:hyperlink w:anchor="_Toc223021750" w:history="1">
        <w:r w:rsidRPr="009A709D">
          <w:rPr>
            <w:rStyle w:val="Hyperlink"/>
            <w:noProof/>
          </w:rPr>
          <w:t>Describe the history of the Bourse du Travail</w:t>
        </w:r>
        <w:r>
          <w:rPr>
            <w:noProof/>
            <w:webHidden/>
          </w:rPr>
          <w:tab/>
        </w:r>
        <w:r>
          <w:rPr>
            <w:noProof/>
            <w:webHidden/>
          </w:rPr>
          <w:fldChar w:fldCharType="begin"/>
        </w:r>
        <w:r>
          <w:rPr>
            <w:noProof/>
            <w:webHidden/>
          </w:rPr>
          <w:instrText xml:space="preserve"> PAGEREF _Toc223021750 \h </w:instrText>
        </w:r>
        <w:r>
          <w:rPr>
            <w:noProof/>
            <w:webHidden/>
          </w:rPr>
        </w:r>
        <w:r>
          <w:rPr>
            <w:noProof/>
            <w:webHidden/>
          </w:rPr>
          <w:fldChar w:fldCharType="separate"/>
        </w:r>
        <w:r>
          <w:rPr>
            <w:noProof/>
            <w:webHidden/>
          </w:rPr>
          <w:t>3</w:t>
        </w:r>
        <w:r>
          <w:rPr>
            <w:noProof/>
            <w:webHidden/>
          </w:rPr>
          <w:fldChar w:fldCharType="end"/>
        </w:r>
      </w:hyperlink>
    </w:p>
    <w:p w14:paraId="78837773" w14:textId="0909D08D" w:rsidR="005746D8" w:rsidRDefault="005746D8">
      <w:pPr>
        <w:pStyle w:val="TOC1"/>
        <w:tabs>
          <w:tab w:val="right" w:leader="dot" w:pos="10790"/>
        </w:tabs>
        <w:rPr>
          <w:rFonts w:eastAsiaTheme="minorEastAsia"/>
          <w:noProof/>
        </w:rPr>
      </w:pPr>
      <w:hyperlink w:anchor="_Toc223021751" w:history="1">
        <w:r w:rsidRPr="009A709D">
          <w:rPr>
            <w:rStyle w:val="Hyperlink"/>
            <w:noProof/>
          </w:rPr>
          <w:t>In addition to instrumental purposes, these also served as community arts-focused and meeting spaces. Describe, please.</w:t>
        </w:r>
        <w:r>
          <w:rPr>
            <w:noProof/>
            <w:webHidden/>
          </w:rPr>
          <w:tab/>
        </w:r>
        <w:r>
          <w:rPr>
            <w:noProof/>
            <w:webHidden/>
          </w:rPr>
          <w:fldChar w:fldCharType="begin"/>
        </w:r>
        <w:r>
          <w:rPr>
            <w:noProof/>
            <w:webHidden/>
          </w:rPr>
          <w:instrText xml:space="preserve"> PAGEREF _Toc223021751 \h </w:instrText>
        </w:r>
        <w:r>
          <w:rPr>
            <w:noProof/>
            <w:webHidden/>
          </w:rPr>
        </w:r>
        <w:r>
          <w:rPr>
            <w:noProof/>
            <w:webHidden/>
          </w:rPr>
          <w:fldChar w:fldCharType="separate"/>
        </w:r>
        <w:r>
          <w:rPr>
            <w:noProof/>
            <w:webHidden/>
          </w:rPr>
          <w:t>5</w:t>
        </w:r>
        <w:r>
          <w:rPr>
            <w:noProof/>
            <w:webHidden/>
          </w:rPr>
          <w:fldChar w:fldCharType="end"/>
        </w:r>
      </w:hyperlink>
    </w:p>
    <w:p w14:paraId="668A606D" w14:textId="023F6370" w:rsidR="005746D8" w:rsidRDefault="005746D8">
      <w:pPr>
        <w:pStyle w:val="TOC1"/>
        <w:tabs>
          <w:tab w:val="right" w:leader="dot" w:pos="10790"/>
        </w:tabs>
        <w:rPr>
          <w:rFonts w:eastAsiaTheme="minorEastAsia"/>
          <w:noProof/>
        </w:rPr>
      </w:pPr>
      <w:hyperlink w:anchor="_Toc223021752" w:history="1">
        <w:r w:rsidRPr="009A709D">
          <w:rPr>
            <w:rStyle w:val="Hyperlink"/>
            <w:noProof/>
          </w:rPr>
          <w:t>Describe how public libraries in America might evolve into some hybrid of the goals and purposes of the Bourse du Travail and the historical evolution of American libraries</w:t>
        </w:r>
        <w:r>
          <w:rPr>
            <w:noProof/>
            <w:webHidden/>
          </w:rPr>
          <w:tab/>
        </w:r>
        <w:r>
          <w:rPr>
            <w:noProof/>
            <w:webHidden/>
          </w:rPr>
          <w:fldChar w:fldCharType="begin"/>
        </w:r>
        <w:r>
          <w:rPr>
            <w:noProof/>
            <w:webHidden/>
          </w:rPr>
          <w:instrText xml:space="preserve"> PAGEREF _Toc223021752 \h </w:instrText>
        </w:r>
        <w:r>
          <w:rPr>
            <w:noProof/>
            <w:webHidden/>
          </w:rPr>
        </w:r>
        <w:r>
          <w:rPr>
            <w:noProof/>
            <w:webHidden/>
          </w:rPr>
          <w:fldChar w:fldCharType="separate"/>
        </w:r>
        <w:r>
          <w:rPr>
            <w:noProof/>
            <w:webHidden/>
          </w:rPr>
          <w:t>7</w:t>
        </w:r>
        <w:r>
          <w:rPr>
            <w:noProof/>
            <w:webHidden/>
          </w:rPr>
          <w:fldChar w:fldCharType="end"/>
        </w:r>
      </w:hyperlink>
    </w:p>
    <w:p w14:paraId="65A213EE" w14:textId="41800A45" w:rsidR="005746D8" w:rsidRDefault="005746D8">
      <w:pPr>
        <w:pStyle w:val="TOC1"/>
        <w:tabs>
          <w:tab w:val="right" w:leader="dot" w:pos="10790"/>
        </w:tabs>
        <w:rPr>
          <w:rFonts w:eastAsiaTheme="minorEastAsia"/>
          <w:noProof/>
        </w:rPr>
      </w:pPr>
      <w:hyperlink w:anchor="_Toc223021753" w:history="1">
        <w:r w:rsidRPr="009A709D">
          <w:rPr>
            <w:rStyle w:val="Hyperlink"/>
            <w:noProof/>
          </w:rPr>
          <w:t>Extended, Research-Grounded Reference Set Supporting the Major Themes of Conversation</w:t>
        </w:r>
        <w:r>
          <w:rPr>
            <w:noProof/>
            <w:webHidden/>
          </w:rPr>
          <w:tab/>
        </w:r>
        <w:r>
          <w:rPr>
            <w:noProof/>
            <w:webHidden/>
          </w:rPr>
          <w:fldChar w:fldCharType="begin"/>
        </w:r>
        <w:r>
          <w:rPr>
            <w:noProof/>
            <w:webHidden/>
          </w:rPr>
          <w:instrText xml:space="preserve"> PAGEREF _Toc223021753 \h </w:instrText>
        </w:r>
        <w:r>
          <w:rPr>
            <w:noProof/>
            <w:webHidden/>
          </w:rPr>
        </w:r>
        <w:r>
          <w:rPr>
            <w:noProof/>
            <w:webHidden/>
          </w:rPr>
          <w:fldChar w:fldCharType="separate"/>
        </w:r>
        <w:r>
          <w:rPr>
            <w:noProof/>
            <w:webHidden/>
          </w:rPr>
          <w:t>9</w:t>
        </w:r>
        <w:r>
          <w:rPr>
            <w:noProof/>
            <w:webHidden/>
          </w:rPr>
          <w:fldChar w:fldCharType="end"/>
        </w:r>
      </w:hyperlink>
    </w:p>
    <w:p w14:paraId="15E3859A" w14:textId="4DCB69C8" w:rsidR="005746D8" w:rsidRDefault="005746D8">
      <w:pPr>
        <w:pStyle w:val="TOC1"/>
        <w:tabs>
          <w:tab w:val="right" w:leader="dot" w:pos="10790"/>
        </w:tabs>
        <w:rPr>
          <w:rFonts w:eastAsiaTheme="minorEastAsia"/>
          <w:noProof/>
        </w:rPr>
      </w:pPr>
      <w:hyperlink w:anchor="_Toc223021754" w:history="1">
        <w:r w:rsidRPr="009A709D">
          <w:rPr>
            <w:rStyle w:val="Hyperlink"/>
            <w:noProof/>
          </w:rPr>
          <w:t>Bibliography</w:t>
        </w:r>
        <w:r>
          <w:rPr>
            <w:noProof/>
            <w:webHidden/>
          </w:rPr>
          <w:tab/>
        </w:r>
        <w:r>
          <w:rPr>
            <w:noProof/>
            <w:webHidden/>
          </w:rPr>
          <w:fldChar w:fldCharType="begin"/>
        </w:r>
        <w:r>
          <w:rPr>
            <w:noProof/>
            <w:webHidden/>
          </w:rPr>
          <w:instrText xml:space="preserve"> PAGEREF _Toc223021754 \h </w:instrText>
        </w:r>
        <w:r>
          <w:rPr>
            <w:noProof/>
            <w:webHidden/>
          </w:rPr>
        </w:r>
        <w:r>
          <w:rPr>
            <w:noProof/>
            <w:webHidden/>
          </w:rPr>
          <w:fldChar w:fldCharType="separate"/>
        </w:r>
        <w:r>
          <w:rPr>
            <w:noProof/>
            <w:webHidden/>
          </w:rPr>
          <w:t>13</w:t>
        </w:r>
        <w:r>
          <w:rPr>
            <w:noProof/>
            <w:webHidden/>
          </w:rPr>
          <w:fldChar w:fldCharType="end"/>
        </w:r>
      </w:hyperlink>
    </w:p>
    <w:p w14:paraId="5CDAE197" w14:textId="54892D40" w:rsidR="00D43CE2" w:rsidRDefault="00661BC8" w:rsidP="00EE2A46">
      <w:r>
        <w:fldChar w:fldCharType="end"/>
      </w:r>
    </w:p>
    <w:p w14:paraId="5A12A01C" w14:textId="77777777" w:rsidR="009746C3" w:rsidRPr="009746C3" w:rsidRDefault="00000000" w:rsidP="009746C3">
      <w:r>
        <w:pict w14:anchorId="0816234B">
          <v:rect id="_x0000_i1026" style="width:0;height:1.5pt" o:hralign="center" o:hrstd="t" o:hr="t" fillcolor="#a0a0a0" stroked="f"/>
        </w:pict>
      </w:r>
    </w:p>
    <w:p w14:paraId="1975B19D" w14:textId="77777777" w:rsidR="005746D8" w:rsidRDefault="005746D8">
      <w:pPr>
        <w:rPr>
          <w:rFonts w:asciiTheme="majorHAnsi" w:eastAsiaTheme="majorEastAsia" w:hAnsiTheme="majorHAnsi" w:cstheme="majorBidi"/>
          <w:color w:val="0F4761" w:themeColor="accent1" w:themeShade="BF"/>
          <w:sz w:val="32"/>
          <w:szCs w:val="32"/>
        </w:rPr>
      </w:pPr>
      <w:bookmarkStart w:id="0" w:name="_Toc223021749"/>
      <w:r>
        <w:br w:type="page"/>
      </w:r>
    </w:p>
    <w:p w14:paraId="17952B6A" w14:textId="3E929BF4" w:rsidR="009746C3" w:rsidRDefault="009746C3" w:rsidP="009746C3">
      <w:pPr>
        <w:pStyle w:val="Heading2"/>
      </w:pPr>
      <w:r w:rsidRPr="009746C3">
        <w:lastRenderedPageBreak/>
        <w:t>Public libraries in America have a long history. Please describe the history in terms of the proponents, politics, and purposes. Include a description of the current status.</w:t>
      </w:r>
      <w:bookmarkEnd w:id="0"/>
    </w:p>
    <w:p w14:paraId="4E9056C1" w14:textId="77777777" w:rsidR="000E3E3A" w:rsidRPr="000E3E3A" w:rsidRDefault="000E3E3A" w:rsidP="000E3E3A">
      <w:r w:rsidRPr="000E3E3A">
        <w:t>Public libraries in the United States have long reflected the nation’s evolving ideas about democracy, education, and the public good. Their history is not simply about books and buildings; it is about who should have access to knowledge, who should pay for it, and what role shared learning spaces should play in civic life. From their earliest beginnings in the eighteenth century to their current role as multifaceted community hubs, American public libraries have continually adapted to social, political, and technological change.</w:t>
      </w:r>
    </w:p>
    <w:p w14:paraId="125D10D8" w14:textId="77777777" w:rsidR="000E3E3A" w:rsidRPr="000E3E3A" w:rsidRDefault="000E3E3A" w:rsidP="000E3E3A">
      <w:r w:rsidRPr="000E3E3A">
        <w:t>The story begins in the colonial and early national period with subscription libraries, most famously the Library Company of Philadelphia founded in 1731 by Benjamin Franklin and his associates. These early institutions were rooted in Enlightenment ideals that linked knowledge to responsible citizenship. However, despite their public-spirited rhetoric, they were not truly open to all. Access typically required membership fees, which meant that merchants, professionals, and other relatively privileged groups benefited most. The political vision behind these libraries emphasized republican virtue and self-improvement, but their reach remained socially limited. In many ways, they embodied an early liberal education ideal still embedded within class boundaries.</w:t>
      </w:r>
    </w:p>
    <w:p w14:paraId="175BE312" w14:textId="77777777" w:rsidR="000E3E3A" w:rsidRPr="000E3E3A" w:rsidRDefault="000E3E3A" w:rsidP="000E3E3A">
      <w:r w:rsidRPr="000E3E3A">
        <w:t>A major transformation occurred in the mid-nineteenth century with the rise of the free public library movement. Reformers influenced by the common school movement, including figures such as Horace Mann, argued that broad access to education was essential for a functioning democracy. Urban civic leaders, women’s clubs, and other reform organizations joined this effort. The establishment of the Boston Public Library in 1854 marked a pivotal moment, demonstrating that a large municipal library could be tax-supported and open to all.</w:t>
      </w:r>
    </w:p>
    <w:p w14:paraId="3B22F0A6" w14:textId="77777777" w:rsidR="000E3E3A" w:rsidRPr="000E3E3A" w:rsidRDefault="000E3E3A" w:rsidP="000E3E3A">
      <w:r w:rsidRPr="000E3E3A">
        <w:t>During the same period, industrialist and philanthropist Andrew Carnegie dramatically accelerated the spread of libraries by funding the construction of roughly 1,689 public library buildings across the United States between the 1880s and the 1920s. Carnegie’s program required local communities to provide land and commit to ongoing public funding, effectively institutionalizing the tax-supported public library model. The politics of this era were complex. On one hand, libraries were promoted as engines of democratic uplift, immigrant education, and self-improvement. On the other hand, some elites viewed them as tools for social stabilization and cultural assimilation, particularly in rapidly growing industrial cities. Both impulses—democratic expansion and social regulation—shaped the emerging system.</w:t>
      </w:r>
    </w:p>
    <w:p w14:paraId="4676D23E" w14:textId="77777777" w:rsidR="000E3E3A" w:rsidRPr="000E3E3A" w:rsidRDefault="000E3E3A" w:rsidP="000E3E3A">
      <w:r w:rsidRPr="000E3E3A">
        <w:t xml:space="preserve">By the Progressive Era in the late nineteenth and early twentieth centuries, libraries underwent significant professionalization. Leaders such as Melvil Dewey helped standardize cataloging systems, training programs, and administrative practices, while organizations like the American Library Association promoted the idea of the library as a professionally managed, neutral civic institution. Progressive reformers believed that expert administration and scientific management could make information more efficiently accessible to the public. At the same time, the claim of neutrality was always somewhat aspirational. Decisions about collections, access, and programming inevitably reflected broader cultural </w:t>
      </w:r>
      <w:r w:rsidRPr="000E3E3A">
        <w:lastRenderedPageBreak/>
        <w:t>and political dynamics. In the Jim Crow South, for example, many libraries were segregated, reminding us that the democratic promise of libraries was unevenly realized.</w:t>
      </w:r>
    </w:p>
    <w:p w14:paraId="576C685E" w14:textId="77777777" w:rsidR="000E3E3A" w:rsidRPr="000E3E3A" w:rsidRDefault="000E3E3A" w:rsidP="000E3E3A">
      <w:r w:rsidRPr="000E3E3A">
        <w:t>The New Deal and post–World War II period further expanded the library’s public role. Federal initiatives, including programs supported by the Works Progress Administration, helped build rural library infrastructure and extend services through bookmobiles and regional systems. The Library Services Act of 1956 strengthened federal support for underserved areas. During the Cold War, libraries were often framed as part of the nation’s democratic information infrastructure, symbolizing open access to knowledge in contrast to authoritarian systems. At the same time, civil rights activism pushed libraries—particularly in the South—to desegregate and more fully live up to their public mission.</w:t>
      </w:r>
    </w:p>
    <w:p w14:paraId="74ECC1CD" w14:textId="77777777" w:rsidR="000E3E3A" w:rsidRPr="000E3E3A" w:rsidRDefault="000E3E3A" w:rsidP="000E3E3A">
      <w:r w:rsidRPr="000E3E3A">
        <w:t>From the 1970s through the early twenty-first century, libraries entered the information age and began another major transformation. The rise of personal computing and the internet shifted expectations dramatically. Libraries became key sites for bridging the digital divide, offering public computer access, online databases, and technology training. Budget pressures associated with broader neoliberal fiscal trends forced many libraries to do more with limited resources, even as community needs expanded. During this period, libraries increasingly took on roles related to job search assistance, lifelong learning, and community programming. Quiet reading rooms were supplemented by computer labs, meeting spaces, and multimedia centers.</w:t>
      </w:r>
    </w:p>
    <w:p w14:paraId="39D3C5A4" w14:textId="77777777" w:rsidR="000E3E3A" w:rsidRPr="000E3E3A" w:rsidRDefault="000E3E3A" w:rsidP="000E3E3A">
      <w:r w:rsidRPr="000E3E3A">
        <w:t>In the past fifteen years, the pace of change has accelerated further. Today’s public libraries typically function as hybrid civic institutions. They continue to provide traditional services—circulating books, offering research help, and maintaining archives—but they also serve as digital equity hubs, workforce support centers, and community gathering spaces. Many libraries now host makerspaces, lend devices and Wi-Fi hotspots, support English language learners, and help patrons navigate government benefits and social services. In some communities, librarians collaborate with social workers or community health organizations. This evolution has occurred partly by design and partly in response to gaps left by other institutions.</w:t>
      </w:r>
    </w:p>
    <w:p w14:paraId="0C51FB46" w14:textId="77777777" w:rsidR="000E3E3A" w:rsidRPr="000E3E3A" w:rsidRDefault="000E3E3A" w:rsidP="000E3E3A">
      <w:r w:rsidRPr="000E3E3A">
        <w:t>At the same time, contemporary libraries face significant pressures. Funding often depends heavily on local property taxes, leaving systems vulnerable to economic downturns and political shifts. Libraries have also become sites of renewed cultural and political contestation, particularly around book challenges and questions of intellectual freedom. Meanwhile, the broader knowledge ecosystem has changed dramatically. Commercial platforms such as large online retailers, search engines, and AI-driven information systems now mediate much of the public’s access to knowledge, raising new questions about the role of publicly governed information institutions.</w:t>
      </w:r>
    </w:p>
    <w:p w14:paraId="402165FA" w14:textId="77777777" w:rsidR="000E3E3A" w:rsidRPr="000E3E3A" w:rsidRDefault="000E3E3A" w:rsidP="000E3E3A">
      <w:r w:rsidRPr="000E3E3A">
        <w:t xml:space="preserve">Despite these challenges, the overall trajectory of American public libraries remains remarkably resilient and adaptive. What began as elite subscription reading rooms has become one of the most trusted and widely used forms of civic infrastructure in the country. Today’s libraries sit at the intersection of information access, digital equity, workforce support, and community life. Their future will likely involve further expansion into areas such as AI literacy, community media production, and deeper partnerships </w:t>
      </w:r>
      <w:r w:rsidRPr="000E3E3A">
        <w:lastRenderedPageBreak/>
        <w:t>with educational and workforce organizations. At the same time, their continued effectiveness will depend on sustainable funding, thoughtful governance, and careful attention to mission balance.</w:t>
      </w:r>
    </w:p>
    <w:p w14:paraId="5C51EE7A" w14:textId="77777777" w:rsidR="000E3E3A" w:rsidRPr="000E3E3A" w:rsidRDefault="000E3E3A" w:rsidP="000E3E3A">
      <w:r w:rsidRPr="000E3E3A">
        <w:t>In sum, the history of American public libraries is a story of steady democratization, institutional adaptation, and expanding public purpose. While their forms and functions have changed, the core aspiration has remained consistent: to provide broadly shared access to knowledge as a foundation for individual opportunity and democratic society. Today, as technological and economic transformations accelerate, that mission may be more important—and more promising—than ever.</w:t>
      </w:r>
    </w:p>
    <w:p w14:paraId="7C94F735" w14:textId="03065EC9" w:rsidR="000E3E3A" w:rsidRDefault="000E3E3A" w:rsidP="000E3E3A">
      <w:pPr>
        <w:pStyle w:val="Heading2"/>
      </w:pPr>
      <w:bookmarkStart w:id="1" w:name="_Toc223021750"/>
      <w:r w:rsidRPr="000E3E3A">
        <w:t>Describe the history of the Bourse du Travail</w:t>
      </w:r>
      <w:bookmarkEnd w:id="1"/>
    </w:p>
    <w:p w14:paraId="1202A7E3" w14:textId="77777777" w:rsidR="000E3E3A" w:rsidRPr="000E3E3A" w:rsidRDefault="000E3E3A" w:rsidP="000E3E3A">
      <w:r w:rsidRPr="000E3E3A">
        <w:t xml:space="preserve">The </w:t>
      </w:r>
      <w:r w:rsidRPr="000E3E3A">
        <w:rPr>
          <w:b/>
          <w:bCs/>
        </w:rPr>
        <w:t>Bourse du Travail</w:t>
      </w:r>
      <w:r w:rsidRPr="000E3E3A">
        <w:t>, or “Labor Exchange,” was one of the most innovative institutional experiments of the late nineteenth- and early twentieth-century labor movement in France. Although often remembered simply as employment offices, the Bourses evolved into something far more ambitious: multifunctional worker centers that combined job placement, education, cultural life, and political organizing. At their height, they represented a bold attempt to build democratic worker infrastructure within industrial society.</w:t>
      </w:r>
    </w:p>
    <w:p w14:paraId="0AEF5814" w14:textId="77777777" w:rsidR="000E3E3A" w:rsidRPr="000E3E3A" w:rsidRDefault="000E3E3A" w:rsidP="000E3E3A">
      <w:r w:rsidRPr="000E3E3A">
        <w:t>The first Bourse du Travail opened in Paris in 1887, emerging in the turbulent decades following the crushing of the Paris Commune of 1871. French authorities, seeking to stabilize labor markets and reduce unrest, initially supported the creation of municipal labor exchanges where employers and workers could be matched more efficiently. Municipal reformers viewed the Bourses as pragmatic tools for managing unemployment and promoting social order. Workers and trade unionists, however, quickly recognized that these new institutions could serve a much broader purpose.</w:t>
      </w:r>
    </w:p>
    <w:p w14:paraId="1B12BBFA" w14:textId="77777777" w:rsidR="000E3E3A" w:rsidRPr="000E3E3A" w:rsidRDefault="000E3E3A" w:rsidP="000E3E3A">
      <w:r w:rsidRPr="000E3E3A">
        <w:t xml:space="preserve">From the beginning, the Bourses possessed a dual character. On paper they were administrative employment offices, often funded or housed by municipalities. In practice, organized labor increasingly transformed them into autonomous centers of worker life. This transformation accelerated dramatically in the 1890s under the leadership of the anarcho-syndicalist organizer Fernand Pelloutier. </w:t>
      </w:r>
      <w:proofErr w:type="spellStart"/>
      <w:r w:rsidRPr="000E3E3A">
        <w:t>Pelloutier</w:t>
      </w:r>
      <w:proofErr w:type="spellEnd"/>
      <w:r w:rsidRPr="000E3E3A">
        <w:t>, who became secretary of the national federation of Bourses in 1895, believed that workers needed not only economic organization but also intellectual and cultural development if they were to achieve genuine emancipation.</w:t>
      </w:r>
    </w:p>
    <w:p w14:paraId="38C22EF3" w14:textId="77777777" w:rsidR="000E3E3A" w:rsidRPr="000E3E3A" w:rsidRDefault="000E3E3A" w:rsidP="000E3E3A">
      <w:r w:rsidRPr="000E3E3A">
        <w:t>Under his influence, the Bourses expanded far beyond job matching. They established libraries and reading rooms, offered technical and general education classes, hosted public lectures, and provided meeting space for unions and worker associations. Many also supported mutual aid functions such as unemployment assistance, legal help, and travel support for workers seeking jobs in other cities. The institutions became lively centers of working-class culture, often sponsoring choirs, theater groups, and commemorative events that fostered solidarity and collective identity.</w:t>
      </w:r>
    </w:p>
    <w:p w14:paraId="0C9004E9" w14:textId="77777777" w:rsidR="000E3E3A" w:rsidRPr="000E3E3A" w:rsidRDefault="000E3E3A" w:rsidP="000E3E3A">
      <w:r w:rsidRPr="000E3E3A">
        <w:t>By the late 1890s, dozens of Bourses existed across France, and they were linked through the Fédération des Bourses du Travail, founded in 1892. They also developed close ties with the emerging national labor confederation, the Confédération Générale du Travail (CGT). During this period, the Bourse network became closely associated with revolutionary syndicalism, a movement that emphasized worker self-</w:t>
      </w:r>
      <w:r w:rsidRPr="000E3E3A">
        <w:lastRenderedPageBreak/>
        <w:t>management, direct action, and the general strike as the path to social transformation. Many activists saw the Bourses as embryonic institutions of a future worker-run society—practical demonstrations of how labor could organize production and social life without reliance on traditional state or capitalist hierarchies.</w:t>
      </w:r>
    </w:p>
    <w:p w14:paraId="0C190FF3" w14:textId="77777777" w:rsidR="000E3E3A" w:rsidRPr="000E3E3A" w:rsidRDefault="000E3E3A" w:rsidP="000E3E3A">
      <w:r w:rsidRPr="000E3E3A">
        <w:t>This was the golden age of the Bourse movement, roughly from the mid-1890s until the outbreak of World War I in 1914. Yet even at their peak, the Bourses faced structural tensions. Most depended on municipal funding or facilities, which meant that their autonomy was never complete. They existed in a delicate balance: tolerated and sometimes supported by local governments, yet often pursuing goals that were more radical than many officials intended. Internal divisions within the labor movement—between revolutionary syndicalists, reformist unionists, socialists, and later communists—also complicated the coherence of the project.</w:t>
      </w:r>
    </w:p>
    <w:p w14:paraId="3885A4AF" w14:textId="77777777" w:rsidR="000E3E3A" w:rsidRPr="000E3E3A" w:rsidRDefault="000E3E3A" w:rsidP="000E3E3A">
      <w:r w:rsidRPr="000E3E3A">
        <w:t>World War I marked a turning point. The war disrupted international labor solidarity, drew many workers into national military mobilization, and strengthened centralized state authority across Europe. In the postwar period, many functions that the Bourses had pioneered—especially employment services—were gradually absorbed into expanding state bureaucracies. During the interwar years and especially after World War II, national labor institutions and welfare-state programs further reduced the distinctive role of the Bourses. Over time, many were professionalized, bureaucratized, or repurposed as conventional union buildings or municipal labor offices. The revolutionary syndicalist vision that had animated them in the 1890s faded significantly.</w:t>
      </w:r>
    </w:p>
    <w:p w14:paraId="7A0BAB62" w14:textId="77777777" w:rsidR="000E3E3A" w:rsidRPr="000E3E3A" w:rsidRDefault="000E3E3A" w:rsidP="000E3E3A">
      <w:r w:rsidRPr="000E3E3A">
        <w:t xml:space="preserve">Today, buildings bearing the name </w:t>
      </w:r>
      <w:r w:rsidRPr="000E3E3A">
        <w:rPr>
          <w:i/>
          <w:iCs/>
        </w:rPr>
        <w:t>Bourse du Travail</w:t>
      </w:r>
      <w:r w:rsidRPr="000E3E3A">
        <w:t xml:space="preserve"> still exist in several French cities, typically serving as union headquarters, meeting halls, or municipal facilities. The original federated network and its transformative ambitions, however, no longer operate in the form </w:t>
      </w:r>
      <w:proofErr w:type="spellStart"/>
      <w:r w:rsidRPr="000E3E3A">
        <w:t>Pelloutier</w:t>
      </w:r>
      <w:proofErr w:type="spellEnd"/>
      <w:r w:rsidRPr="000E3E3A">
        <w:t xml:space="preserve"> and his contemporaries envisioned. Nevertheless, the conceptual legacy of the Bourse du Travail remains influential. Modern worker centers, hiring halls, solidarity economy initiatives, and proposals for platform cooperatives all echo elements of the Bourse model.</w:t>
      </w:r>
    </w:p>
    <w:p w14:paraId="2CBAB854" w14:textId="77777777" w:rsidR="000E3E3A" w:rsidRPr="000E3E3A" w:rsidRDefault="000E3E3A" w:rsidP="000E3E3A">
      <w:r w:rsidRPr="000E3E3A">
        <w:t>What made the Bourses historically distinctive was their effort to integrate multiple dimensions of working-class life—economic coordination, education, culture, and mutual aid—within a single, largely worker-governed institutional framework. In contemporary terms, they attempted to build a democratic, worker-centered social infrastructure long before such language became common. Although the movement declined in the face of war, state centralization, and internal divisions, its underlying insight endures: durable economic democracy depends not only on jobs and wages, but also on shared institutions that cultivate knowledge, solidarity, and collective capacity.</w:t>
      </w:r>
    </w:p>
    <w:p w14:paraId="123E2D62" w14:textId="77777777" w:rsidR="000E3E3A" w:rsidRPr="000E3E3A" w:rsidRDefault="000E3E3A" w:rsidP="000E3E3A">
      <w:r w:rsidRPr="000E3E3A">
        <w:t>Seen in this light, the Bourse du Travail was not merely a labor market mechanism. It was one of the most ambitious historical experiments in building an integrated civic and economic commons for working people—an experiment whose lessons continue to resonate in current debates about the future of work, public institutions, and democratic life.</w:t>
      </w:r>
    </w:p>
    <w:p w14:paraId="7ABEA722" w14:textId="0A8FC6A4" w:rsidR="000E3E3A" w:rsidRDefault="000E3E3A" w:rsidP="000E3E3A">
      <w:pPr>
        <w:pStyle w:val="Heading2"/>
      </w:pPr>
      <w:bookmarkStart w:id="2" w:name="_Toc223021751"/>
      <w:r w:rsidRPr="000E3E3A">
        <w:lastRenderedPageBreak/>
        <w:t>In addition to instrumental purposes, these also served as community arts-focused and meeting spaces. Describe, please</w:t>
      </w:r>
      <w:r>
        <w:t>.</w:t>
      </w:r>
      <w:bookmarkEnd w:id="2"/>
    </w:p>
    <w:p w14:paraId="3D47B4DC" w14:textId="77777777" w:rsidR="000E3E3A" w:rsidRPr="000E3E3A" w:rsidRDefault="000E3E3A" w:rsidP="000E3E3A">
      <w:r w:rsidRPr="000E3E3A">
        <w:t xml:space="preserve">Beyond their formal role as labor exchanges and union hubs, the Bourses du Travail evolved into vibrant cultural and community centers for working people. This dimension is sometimes overlooked, but for many of the movement’s leaders—especially the anarcho-syndicalist organizer Fernand Pelloutier—it was essential rather than incidental. </w:t>
      </w:r>
      <w:proofErr w:type="spellStart"/>
      <w:r w:rsidRPr="000E3E3A">
        <w:t>Pelloutier</w:t>
      </w:r>
      <w:proofErr w:type="spellEnd"/>
      <w:r w:rsidRPr="000E3E3A">
        <w:t xml:space="preserve"> and his allies believed that economic organization alone could not secure meaningful worker emancipation. Workers, they argued, also needed opportunities for intellectual growth, cultural expression, and collective social life. As a result, many Bourses deliberately cultivated what we might today call a </w:t>
      </w:r>
      <w:proofErr w:type="gramStart"/>
      <w:r w:rsidRPr="000E3E3A">
        <w:t>working-class cultural commons</w:t>
      </w:r>
      <w:proofErr w:type="gramEnd"/>
      <w:r w:rsidRPr="000E3E3A">
        <w:t>.</w:t>
      </w:r>
    </w:p>
    <w:p w14:paraId="02F22A87" w14:textId="77777777" w:rsidR="000E3E3A" w:rsidRPr="000E3E3A" w:rsidRDefault="000E3E3A" w:rsidP="000E3E3A">
      <w:r w:rsidRPr="000E3E3A">
        <w:t>One of the most visible expressions of this cultural mission was the support for workers’ theater and performance. Many Bourses hosted amateur dramatic groups that staged plays, pageants, and public lectures with theatrical elements. These performances were not simply entertainment. They often dramatized class relations, labor struggles, and social questions in ways that made abstract political and economic ideas more accessible to ordinary people. Theater also helped build emotional solidarity among participants and audiences alike. By creating cultural spaces outside elite venues, the Bourses democratized artistic participation and reinforced a shared sense of working-class identity.</w:t>
      </w:r>
    </w:p>
    <w:p w14:paraId="1F561EEA" w14:textId="77777777" w:rsidR="000E3E3A" w:rsidRPr="000E3E3A" w:rsidRDefault="000E3E3A" w:rsidP="000E3E3A">
      <w:r w:rsidRPr="000E3E3A">
        <w:t>Music and collective celebration played a similar role. Workers’ choirs, brass bands, and commemorative festivals—especially around May Day—were common features of Bourse activity. These musical and ritual practices helped sustain morale, transmit movement memory, and strengthen bonds across different trades and neighborhoods. In an era before mass electronic media, such shared cultural experiences were powerful tools for building cohesion. The Bourses’ leaders understood that solidarity was not only a matter of shared interests but also of shared emotional life.</w:t>
      </w:r>
    </w:p>
    <w:p w14:paraId="45ECAE62" w14:textId="77777777" w:rsidR="000E3E3A" w:rsidRPr="000E3E3A" w:rsidRDefault="000E3E3A" w:rsidP="000E3E3A">
      <w:r w:rsidRPr="000E3E3A">
        <w:t>Libraries and reading rooms were another crucial component of the Bourses’ cultural infrastructure. Many maintained substantial collections that included technical manuals, political economy, socialist and anarchist writings, general literature, and newspapers from France and abroad. These spaces encouraged self-directed learning and exposed workers to a wide range of ideas. They also fostered habits of critical reading and discussion that strengthened what we might now call epistemic agency. The goal was not merely to train workers for specific jobs but to cultivate informed and intellectually confident participants in public life.</w:t>
      </w:r>
    </w:p>
    <w:p w14:paraId="23EAB900" w14:textId="77777777" w:rsidR="000E3E3A" w:rsidRPr="000E3E3A" w:rsidRDefault="000E3E3A" w:rsidP="000E3E3A">
      <w:r w:rsidRPr="000E3E3A">
        <w:t>Education within the Bourses extended well beyond vocational skills. Evening classes and lectures often covered history, languages, science, literature, public speaking, and political economy. Study circles—frequently peer-led and dialogic in style—were especially important. These gatherings encouraged workers to debate ideas, practice argumentation, and learn collaboratively across occupational lines. In retrospect, these practices closely anticipated later theories of critical consciousness, including those associated with thinkers such as Paulo Freire. The Bourses were, in effect, early laboratories for democratic adult education.</w:t>
      </w:r>
    </w:p>
    <w:p w14:paraId="7EC7EED7" w14:textId="77777777" w:rsidR="000E3E3A" w:rsidRPr="000E3E3A" w:rsidRDefault="000E3E3A" w:rsidP="000E3E3A">
      <w:r w:rsidRPr="000E3E3A">
        <w:lastRenderedPageBreak/>
        <w:t>Equally important was the physical and social environment the Bourses provided. Their buildings typically included large assembly halls, classrooms, libraries, and smaller meeting rooms. In many industrial cities, they were among the few semi-autonomous public spaces readily available to working-class people. Beyond formal programming, they functioned as everyday gathering places where union members, job seekers, migrants, and community residents could meet, exchange information, and build networks of trust. They served as orientation points for newcomers and coordination hubs for mutual aid efforts. In this sense, they operated as full-fledged working-class civic centers.</w:t>
      </w:r>
    </w:p>
    <w:p w14:paraId="5722B700" w14:textId="77777777" w:rsidR="000E3E3A" w:rsidRPr="000E3E3A" w:rsidRDefault="000E3E3A" w:rsidP="000E3E3A">
      <w:r w:rsidRPr="000E3E3A">
        <w:t>The community dimension also extended, in some cases, to women and families. Although many unions of the period were male-dominated, Bourses often hosted literacy programs, educational activities, and social events that included women and children. Holiday celebrations and public lectures sometimes welcomed entire families, broadening the institution’s reach beyond the workplace and embedding it more deeply in community life.</w:t>
      </w:r>
    </w:p>
    <w:p w14:paraId="69D34F71" w14:textId="77777777" w:rsidR="000E3E3A" w:rsidRPr="000E3E3A" w:rsidRDefault="000E3E3A" w:rsidP="000E3E3A">
      <w:r w:rsidRPr="000E3E3A">
        <w:t>For the syndicalist thinkers who shaped the Bourse movement, this cultural layer was strategically indispensable. They believed that durable worker power required more than bargaining capacity or strike organization. It required the ongoing cultural reproduction of solidarity, dignity, and intellectual independence. The arts, education, and shared social spaces helped produce the psychological confidence, critical reasoning, and cross-trade trust necessary for sustained collective action.</w:t>
      </w:r>
    </w:p>
    <w:p w14:paraId="6A9B9716" w14:textId="77777777" w:rsidR="000E3E3A" w:rsidRPr="000E3E3A" w:rsidRDefault="000E3E3A" w:rsidP="000E3E3A">
      <w:r w:rsidRPr="000E3E3A">
        <w:t>Seen from today’s perspective, what is striking is how integrated these functions were. In many modern societies, job assistance, adult education, arts programming, and social services are scattered across separate institutions. The Bourses du Travail, at their peak, brought these elements together within a single, largely worker-governed framework. Their decline in the twentieth century did not eliminate the needs they addressed; it largely fragmented them. For contemporary observers interested in democratic infrastructure and community resilience, the cultural and meeting-space functions of the Bourses remain one of their most instructive and inspiring legacies.</w:t>
      </w:r>
    </w:p>
    <w:p w14:paraId="298D7343" w14:textId="029DEA10" w:rsidR="000E3E3A" w:rsidRDefault="003D6F44" w:rsidP="003D6F44">
      <w:pPr>
        <w:pStyle w:val="Heading2"/>
      </w:pPr>
      <w:bookmarkStart w:id="3" w:name="_Toc223021752"/>
      <w:r w:rsidRPr="003D6F44">
        <w:t>Describe how public libraries in America might evolve into some hybrid of the goals and purposes of the Bourse du Travail and the historical evolution of</w:t>
      </w:r>
      <w:r>
        <w:br/>
      </w:r>
      <w:r w:rsidRPr="003D6F44">
        <w:t>American libraries</w:t>
      </w:r>
      <w:bookmarkEnd w:id="3"/>
    </w:p>
    <w:p w14:paraId="05DB35C4" w14:textId="77777777" w:rsidR="003D6F44" w:rsidRPr="003D6F44" w:rsidRDefault="003D6F44" w:rsidP="003D6F44">
      <w:r w:rsidRPr="003D6F44">
        <w:t>Public libraries in the United States and the French Bourse du Travail emerged from different historical contexts, yet they addressed complementary social needs. American libraries developed primarily as institutions of knowledge access and civic education, while the Bourses evolved into integrated centers for worker coordination, cultural life, and mutual aid. Today, shifting economic and technological conditions are bringing these traditions into closer alignment, creating a timely opportunity to imagine a thoughtful hybrid. Such a synthesis would not require libraries to abandon their historic mission. Rather, it would involve deepening and organizing roles many libraries are already beginning to play.</w:t>
      </w:r>
    </w:p>
    <w:p w14:paraId="45AA4A8A" w14:textId="77777777" w:rsidR="003D6F44" w:rsidRPr="003D6F44" w:rsidRDefault="003D6F44" w:rsidP="003D6F44">
      <w:r w:rsidRPr="003D6F44">
        <w:t xml:space="preserve">In recent decades, public libraries have quietly expanded well beyond their traditional functions. In addition to lending books and supporting research, many now offer job search assistance, résumé workshops, digital skills training, English language learning, makerspaces, and community meeting </w:t>
      </w:r>
      <w:r w:rsidRPr="003D6F44">
        <w:lastRenderedPageBreak/>
        <w:t>rooms. Librarians increasingly help patrons navigate government benefits, workforce systems, and online services. In functional terms, many libraries have already begun to operate as soft civic and economic infrastructure. This evolution mirrors, in partial form, the integrated role once played by the Bourse du Travail.</w:t>
      </w:r>
    </w:p>
    <w:p w14:paraId="30FA5BA9" w14:textId="77777777" w:rsidR="003D6F44" w:rsidRPr="003D6F44" w:rsidRDefault="003D6F44" w:rsidP="003D6F44">
      <w:r w:rsidRPr="003D6F44">
        <w:t>A fully realized hybrid model might be understood as a “civic knowledge and work commons.” At its foundation would remain the library’s core responsibility: maintaining open and equitable access to information. Books, archives, digital resources, and research support would continue to serve as the epistemic infrastructure of democracy. In an era of artificial intelligence and information overload, this role may become even more important, particularly as libraries help communities develop AI literacy and source verification skills.</w:t>
      </w:r>
    </w:p>
    <w:p w14:paraId="0F9B3FD5" w14:textId="77777777" w:rsidR="003D6F44" w:rsidRPr="003D6F44" w:rsidRDefault="003D6F44" w:rsidP="003D6F44">
      <w:r w:rsidRPr="003D6F44">
        <w:t>Building on this base, the hybrid library could expand its economic navigation functions in ways that echo the Bourse tradition. Rather than focusing narrowly on individual job placement, libraries could help communities coordinate pathways to dignified work. This might include more robust skills registries, partnerships with worker cooperatives, support for freelancers and gig workers, and accessible guidance on labor rights and benefits. The goal would not be to replace existing workforce agencies but to provide a trusted, locally grounded entry point that helps residents make sense of an increasingly complex labor market.</w:t>
      </w:r>
    </w:p>
    <w:p w14:paraId="51EC9543" w14:textId="77777777" w:rsidR="003D6F44" w:rsidRPr="003D6F44" w:rsidRDefault="003D6F44" w:rsidP="003D6F44">
      <w:r w:rsidRPr="003D6F44">
        <w:t>Another promising area of convergence lies in cultural production. Historically, the Bourses treated arts and culture as central to worker empowerment, not peripheral. American libraries are well positioned to adopt a similar stance. Many already host community arts programs, but a hybrid model would more intentionally support local media labs, oral history projects, public storytelling, and community theater. By nurturing cultural expression alongside information access, libraries can strengthen the narrative and creative capacities that underpin civic life.</w:t>
      </w:r>
    </w:p>
    <w:p w14:paraId="7C26FEBB" w14:textId="77777777" w:rsidR="003D6F44" w:rsidRPr="003D6F44" w:rsidRDefault="003D6F44" w:rsidP="003D6F44">
      <w:r w:rsidRPr="003D6F44">
        <w:t>Equally important is the library’s potential role in democratic learning. Public libraries have long supported literacy and informal education, but the hybrid vision would more deliberately cultivate critical thinking, media literacy, and civic dialogue. Structured study circles, deliberative forums, and AI persuasion literacy programs could help shift libraries from spaces of passive information consumption toward spaces of active civic capability formation. This direction aligns closely with the Essential Learning Outcomes promoted by the Association of American Colleges and Universities, particularly in areas such as inquiry, intercultural competence, and civic engagement.</w:t>
      </w:r>
    </w:p>
    <w:p w14:paraId="7F075280" w14:textId="77777777" w:rsidR="003D6F44" w:rsidRPr="003D6F44" w:rsidRDefault="003D6F44" w:rsidP="003D6F44">
      <w:r w:rsidRPr="003D6F44">
        <w:t>Many libraries are also becoming front-line connectors to social supports, especially as other institutions retrench. In a hybrid model, this function would be acknowledged and designed more intentionally. Libraries could serve as trusted navigation hubs for benefits, legal aid referrals, immigrant support, and community resilience resources. The key challenge would be to expand thoughtfully without overwhelming staff or diluting the institution’s core identity.</w:t>
      </w:r>
    </w:p>
    <w:p w14:paraId="56F50165" w14:textId="77777777" w:rsidR="003D6F44" w:rsidRPr="003D6F44" w:rsidRDefault="003D6F44" w:rsidP="003D6F44">
      <w:r w:rsidRPr="003D6F44">
        <w:t xml:space="preserve">Governance will be a critical factor in any successful evolution. Traditional American libraries have been municipally funded and professionally managed, while the Bourses emphasized bottom-up worker participation. A promising hybrid approach would combine these strengths through layered governance. </w:t>
      </w:r>
      <w:r w:rsidRPr="003D6F44">
        <w:lastRenderedPageBreak/>
        <w:t>Professional librarians would continue to safeguard collection integrity, information ethics, and technical systems. At the same time, community advisory councils and partnerships with worker and cooperative organizations could provide structured input on programming and local needs. Such a model would preserve professional expertise while deepening democratic responsiveness.</w:t>
      </w:r>
    </w:p>
    <w:p w14:paraId="10435424" w14:textId="77777777" w:rsidR="003D6F44" w:rsidRPr="003D6F44" w:rsidRDefault="003D6F44" w:rsidP="003D6F44">
      <w:r w:rsidRPr="003D6F44">
        <w:t>The broader technological and economic context adds urgency to this conversation. Today, much of the public’s access to books, information, and employment platforms is mediated by large private corporations. As artificial intelligence systems increasingly shape how people find knowledge and work, the importance of publicly governed alternatives grows. A thoughtfully expanded public library system could serve as one of the last widely trusted, noncommercial knowledge infrastructures available to communities.</w:t>
      </w:r>
    </w:p>
    <w:p w14:paraId="01FF9165" w14:textId="77777777" w:rsidR="003D6F44" w:rsidRPr="003D6F44" w:rsidRDefault="003D6F44" w:rsidP="003D6F44">
      <w:r w:rsidRPr="003D6F44">
        <w:t>Significant constraints remain. Library funding in the United States is often fragile and heavily dependent on local property taxes. Staff in many systems already face capacity pressures. Political controversies, including book challenges and debates over public programming, have also intensified. Any move toward a hybrid model must therefore proceed incrementally, with sustainable investment and careful attention to mission balance.</w:t>
      </w:r>
    </w:p>
    <w:p w14:paraId="44797887" w14:textId="77777777" w:rsidR="003D6F44" w:rsidRPr="003D6F44" w:rsidRDefault="003D6F44" w:rsidP="003D6F44">
      <w:r w:rsidRPr="003D6F44">
        <w:t>Even so, the trajectory is encouraging. Many of the building blocks are already in place, and libraries retain a remarkable level of public trust. The most plausible path forward is not a sudden transformation but a gradual process of intentional hybridization. Over time, expanded workforce services, civic media initiatives, cooperative partnerships, and AI literacy programs could knit together into a more coherent civic infrastructure.</w:t>
      </w:r>
    </w:p>
    <w:p w14:paraId="0311ACAA" w14:textId="77777777" w:rsidR="003D6F44" w:rsidRPr="003D6F44" w:rsidRDefault="003D6F44" w:rsidP="003D6F44">
      <w:r w:rsidRPr="003D6F44">
        <w:t>Seen in historical perspective, the opportunity is striking. American public libraries successfully democratized access to knowledge, while the Bourse du Travail demonstrated the power of integrating work, culture, education, and mutual aid. A twenty-first-century synthesis of these traditions could help libraries meet the complex demands of the AI era while remaining faithful to their deepest democratic purposes. The result would not be a departure from the library’s mission, but its fuller realization in a world that increasingly needs trusted, inclusive, and publicly grounded institutions.</w:t>
      </w:r>
    </w:p>
    <w:p w14:paraId="65DAE522" w14:textId="77777777" w:rsidR="003D6F44" w:rsidRPr="003D6F44" w:rsidRDefault="003D6F44" w:rsidP="003D6F44"/>
    <w:p w14:paraId="17EAECF8" w14:textId="60BD197B" w:rsidR="009746C3" w:rsidRDefault="008635A2" w:rsidP="008635A2">
      <w:pPr>
        <w:pStyle w:val="Heading2"/>
      </w:pPr>
      <w:bookmarkStart w:id="4" w:name="_Toc223021753"/>
      <w:r w:rsidRPr="008635A2">
        <w:t>Extended, Research-Grounded Reference Set Supporting the Major</w:t>
      </w:r>
      <w:r>
        <w:br/>
      </w:r>
      <w:r w:rsidRPr="008635A2">
        <w:t>Themes of Conversation</w:t>
      </w:r>
      <w:bookmarkEnd w:id="4"/>
    </w:p>
    <w:p w14:paraId="77988C20" w14:textId="77777777" w:rsidR="008635A2" w:rsidRPr="008635A2" w:rsidRDefault="008635A2" w:rsidP="008635A2">
      <w:r w:rsidRPr="008635A2">
        <w:t xml:space="preserve">Below is an </w:t>
      </w:r>
      <w:r w:rsidRPr="008635A2">
        <w:rPr>
          <w:b/>
          <w:bCs/>
        </w:rPr>
        <w:t>extended, research-grounded reference set</w:t>
      </w:r>
      <w:r w:rsidRPr="008635A2">
        <w:t xml:space="preserve"> supporting the major themes and claims in my responses </w:t>
      </w:r>
      <w:r w:rsidRPr="008635A2">
        <w:rPr>
          <w:b/>
          <w:bCs/>
        </w:rPr>
        <w:t>prior to your prompt “A 2-minute video script version, please.”</w:t>
      </w:r>
    </w:p>
    <w:p w14:paraId="3244AA3A" w14:textId="77777777" w:rsidR="008635A2" w:rsidRPr="008635A2" w:rsidRDefault="008635A2" w:rsidP="008635A2">
      <w:r w:rsidRPr="008635A2">
        <w:t xml:space="preserve">I have organized these for your OER workflow in </w:t>
      </w:r>
      <w:r w:rsidRPr="008635A2">
        <w:rPr>
          <w:b/>
          <w:bCs/>
        </w:rPr>
        <w:t>Chicago-style annotated format</w:t>
      </w:r>
      <w:r w:rsidRPr="008635A2">
        <w:t>, grouped by topic area.</w:t>
      </w:r>
    </w:p>
    <w:p w14:paraId="0F433DA1" w14:textId="77777777" w:rsidR="008635A2" w:rsidRPr="008635A2" w:rsidRDefault="00000000" w:rsidP="008635A2">
      <w:r>
        <w:pict w14:anchorId="28D6D0CB">
          <v:rect id="_x0000_i1085" style="width:0;height:1.5pt" o:hralign="center" o:hrstd="t" o:hr="t" fillcolor="#a0a0a0" stroked="f"/>
        </w:pict>
      </w:r>
    </w:p>
    <w:p w14:paraId="219FF2B3" w14:textId="77777777" w:rsidR="008635A2" w:rsidRPr="008635A2" w:rsidRDefault="008635A2" w:rsidP="008635A2">
      <w:pPr>
        <w:rPr>
          <w:b/>
          <w:bCs/>
        </w:rPr>
      </w:pPr>
      <w:r w:rsidRPr="008635A2">
        <w:rPr>
          <w:rFonts w:ascii="Segoe UI Emoji" w:hAnsi="Segoe UI Emoji" w:cs="Segoe UI Emoji"/>
          <w:b/>
          <w:bCs/>
        </w:rPr>
        <w:t>📚</w:t>
      </w:r>
      <w:r w:rsidRPr="008635A2">
        <w:rPr>
          <w:b/>
          <w:bCs/>
        </w:rPr>
        <w:t xml:space="preserve"> Core References: Public Libraries in America</w:t>
      </w:r>
    </w:p>
    <w:p w14:paraId="102E9320" w14:textId="77777777" w:rsidR="008635A2" w:rsidRPr="008635A2" w:rsidRDefault="008635A2" w:rsidP="008635A2">
      <w:pPr>
        <w:rPr>
          <w:b/>
          <w:bCs/>
        </w:rPr>
      </w:pPr>
      <w:r w:rsidRPr="008635A2">
        <w:rPr>
          <w:b/>
          <w:bCs/>
        </w:rPr>
        <w:t>Foundational history</w:t>
      </w:r>
    </w:p>
    <w:p w14:paraId="65CEDAC9" w14:textId="77777777" w:rsidR="008635A2" w:rsidRPr="008635A2" w:rsidRDefault="008635A2" w:rsidP="008635A2">
      <w:r w:rsidRPr="008635A2">
        <w:rPr>
          <w:b/>
          <w:bCs/>
        </w:rPr>
        <w:lastRenderedPageBreak/>
        <w:t xml:space="preserve">Wiegand, Wayne A. </w:t>
      </w:r>
      <w:r w:rsidRPr="008635A2">
        <w:rPr>
          <w:b/>
          <w:bCs/>
          <w:i/>
          <w:iCs/>
        </w:rPr>
        <w:t>Part of Our Lives: A People’s History of the American Public Library</w:t>
      </w:r>
      <w:r w:rsidRPr="008635A2">
        <w:rPr>
          <w:b/>
          <w:bCs/>
        </w:rPr>
        <w:t>.</w:t>
      </w:r>
      <w:r w:rsidRPr="008635A2">
        <w:t xml:space="preserve"> Oxford University Press, 2015.</w:t>
      </w:r>
      <w:r w:rsidRPr="008635A2">
        <w:br/>
        <w:t>A leading social history showing how libraries evolved from elite institutions into broad civic infrastructure. Supports the narrative of libraries as democratic but socially contested spaces.</w:t>
      </w:r>
    </w:p>
    <w:p w14:paraId="4BAC38A5" w14:textId="77777777" w:rsidR="008635A2" w:rsidRPr="008635A2" w:rsidRDefault="008635A2" w:rsidP="008635A2">
      <w:r w:rsidRPr="008635A2">
        <w:rPr>
          <w:b/>
          <w:bCs/>
        </w:rPr>
        <w:t xml:space="preserve">Rubin, Richard E., and Rachel G. Rubin. </w:t>
      </w:r>
      <w:r w:rsidRPr="008635A2">
        <w:rPr>
          <w:b/>
          <w:bCs/>
          <w:i/>
          <w:iCs/>
        </w:rPr>
        <w:t>Foundations of Library and Information Science</w:t>
      </w:r>
      <w:r w:rsidRPr="008635A2">
        <w:rPr>
          <w:b/>
          <w:bCs/>
        </w:rPr>
        <w:t>.</w:t>
      </w:r>
      <w:r w:rsidRPr="008635A2">
        <w:t xml:space="preserve"> 4th ed. ALA Neal-Schuman, 2017.</w:t>
      </w:r>
      <w:r w:rsidRPr="008635A2">
        <w:br/>
        <w:t>Standard LIS overview covering professionalization, mission evolution, and the expanding service role of public libraries.</w:t>
      </w:r>
    </w:p>
    <w:p w14:paraId="2905F3CD" w14:textId="77777777" w:rsidR="008635A2" w:rsidRPr="008635A2" w:rsidRDefault="008635A2" w:rsidP="008635A2">
      <w:r w:rsidRPr="008635A2">
        <w:rPr>
          <w:b/>
          <w:bCs/>
        </w:rPr>
        <w:t xml:space="preserve">Garrison, Dee. </w:t>
      </w:r>
      <w:r w:rsidRPr="008635A2">
        <w:rPr>
          <w:b/>
          <w:bCs/>
          <w:i/>
          <w:iCs/>
        </w:rPr>
        <w:t>Apostles of Culture: The Public Librarian and American Society, 1876–1920</w:t>
      </w:r>
      <w:r w:rsidRPr="008635A2">
        <w:rPr>
          <w:b/>
          <w:bCs/>
        </w:rPr>
        <w:t>.</w:t>
      </w:r>
      <w:r w:rsidRPr="008635A2">
        <w:t xml:space="preserve"> Free Press, 1979.</w:t>
      </w:r>
      <w:r w:rsidRPr="008635A2">
        <w:br/>
        <w:t>Classic study of Progressive-era librarianship and the tension between uplift and social control—central to the “dual purpose” framing used earlier.</w:t>
      </w:r>
    </w:p>
    <w:p w14:paraId="6466BB7D" w14:textId="77777777" w:rsidR="008635A2" w:rsidRPr="008635A2" w:rsidRDefault="00000000" w:rsidP="008635A2">
      <w:r>
        <w:pict w14:anchorId="5414C7F3">
          <v:rect id="_x0000_i1086" style="width:0;height:1.5pt" o:hralign="center" o:hrstd="t" o:hr="t" fillcolor="#a0a0a0" stroked="f"/>
        </w:pict>
      </w:r>
    </w:p>
    <w:p w14:paraId="54339735" w14:textId="77777777" w:rsidR="008635A2" w:rsidRPr="008635A2" w:rsidRDefault="008635A2" w:rsidP="008635A2">
      <w:pPr>
        <w:rPr>
          <w:b/>
          <w:bCs/>
        </w:rPr>
      </w:pPr>
      <w:r w:rsidRPr="008635A2">
        <w:rPr>
          <w:b/>
          <w:bCs/>
        </w:rPr>
        <w:t>Carnegie era and library expansion</w:t>
      </w:r>
    </w:p>
    <w:p w14:paraId="5A3C9C33" w14:textId="77777777" w:rsidR="008635A2" w:rsidRPr="008635A2" w:rsidRDefault="008635A2" w:rsidP="008635A2">
      <w:r w:rsidRPr="008635A2">
        <w:rPr>
          <w:b/>
          <w:bCs/>
        </w:rPr>
        <w:t xml:space="preserve">Van Slyck, Abigail A. </w:t>
      </w:r>
      <w:r w:rsidRPr="008635A2">
        <w:rPr>
          <w:b/>
          <w:bCs/>
          <w:i/>
          <w:iCs/>
        </w:rPr>
        <w:t>Free to All: Carnegie Libraries and American Culture, 1890–1920</w:t>
      </w:r>
      <w:r w:rsidRPr="008635A2">
        <w:rPr>
          <w:b/>
          <w:bCs/>
        </w:rPr>
        <w:t>.</w:t>
      </w:r>
      <w:r w:rsidRPr="008635A2">
        <w:t xml:space="preserve"> University of Chicago Press, 1995.</w:t>
      </w:r>
      <w:r w:rsidRPr="008635A2">
        <w:br/>
        <w:t>Definitive work on Carnegie philanthropy and its civic ideology.</w:t>
      </w:r>
    </w:p>
    <w:p w14:paraId="62414976" w14:textId="77777777" w:rsidR="008635A2" w:rsidRPr="008635A2" w:rsidRDefault="008635A2" w:rsidP="008635A2">
      <w:r w:rsidRPr="008635A2">
        <w:rPr>
          <w:b/>
          <w:bCs/>
        </w:rPr>
        <w:t xml:space="preserve">Bobinski, George S. </w:t>
      </w:r>
      <w:r w:rsidRPr="008635A2">
        <w:rPr>
          <w:b/>
          <w:bCs/>
          <w:i/>
          <w:iCs/>
        </w:rPr>
        <w:t>Carnegie Libraries: Their History and Impact on American Public Library Development</w:t>
      </w:r>
      <w:r w:rsidRPr="008635A2">
        <w:rPr>
          <w:b/>
          <w:bCs/>
        </w:rPr>
        <w:t>.</w:t>
      </w:r>
      <w:r w:rsidRPr="008635A2">
        <w:t xml:space="preserve"> ALA, 1969.</w:t>
      </w:r>
      <w:r w:rsidRPr="008635A2">
        <w:br/>
        <w:t>Documents the scale and institutional impact of Carnegie funding.</w:t>
      </w:r>
    </w:p>
    <w:p w14:paraId="7DAC1426" w14:textId="77777777" w:rsidR="008635A2" w:rsidRPr="008635A2" w:rsidRDefault="008635A2" w:rsidP="008635A2">
      <w:r w:rsidRPr="008635A2">
        <w:rPr>
          <w:b/>
          <w:bCs/>
        </w:rPr>
        <w:t>(</w:t>
      </w:r>
      <w:hyperlink r:id="rId10" w:tooltip="Carnegie library" w:history="1">
        <w:r w:rsidRPr="008635A2">
          <w:rPr>
            <w:rStyle w:val="Hyperlink"/>
            <w:b/>
            <w:bCs/>
          </w:rPr>
          <w:t>Wikipedia</w:t>
        </w:r>
      </w:hyperlink>
      <w:r w:rsidRPr="008635A2">
        <w:rPr>
          <w:b/>
          <w:bCs/>
        </w:rPr>
        <w:t>)</w:t>
      </w:r>
      <w:r w:rsidRPr="008635A2">
        <w:br/>
        <w:t>Carnegie funded thousands of libraries and required communities to provide land and ongoing tax support, creating the modern municipal library model.</w:t>
      </w:r>
    </w:p>
    <w:p w14:paraId="4D8DDF4E" w14:textId="77777777" w:rsidR="008635A2" w:rsidRPr="008635A2" w:rsidRDefault="00000000" w:rsidP="008635A2">
      <w:r>
        <w:pict w14:anchorId="3C4784B4">
          <v:rect id="_x0000_i1087" style="width:0;height:1.5pt" o:hralign="center" o:hrstd="t" o:hr="t" fillcolor="#a0a0a0" stroked="f"/>
        </w:pict>
      </w:r>
    </w:p>
    <w:p w14:paraId="56BC8395" w14:textId="77777777" w:rsidR="008635A2" w:rsidRPr="008635A2" w:rsidRDefault="008635A2" w:rsidP="008635A2">
      <w:pPr>
        <w:rPr>
          <w:b/>
          <w:bCs/>
        </w:rPr>
      </w:pPr>
      <w:r w:rsidRPr="008635A2">
        <w:rPr>
          <w:b/>
          <w:bCs/>
        </w:rPr>
        <w:t>Libraries as social infrastructure</w:t>
      </w:r>
    </w:p>
    <w:p w14:paraId="1910D993" w14:textId="77777777" w:rsidR="008635A2" w:rsidRPr="008635A2" w:rsidRDefault="008635A2" w:rsidP="008635A2">
      <w:r w:rsidRPr="008635A2">
        <w:rPr>
          <w:b/>
          <w:bCs/>
        </w:rPr>
        <w:t xml:space="preserve">Klinenberg, Eric. </w:t>
      </w:r>
      <w:r w:rsidRPr="008635A2">
        <w:rPr>
          <w:b/>
          <w:bCs/>
          <w:i/>
          <w:iCs/>
        </w:rPr>
        <w:t>Palaces for the People</w:t>
      </w:r>
      <w:r w:rsidRPr="008635A2">
        <w:rPr>
          <w:b/>
          <w:bCs/>
        </w:rPr>
        <w:t>.</w:t>
      </w:r>
      <w:r w:rsidRPr="008635A2">
        <w:t xml:space="preserve"> Crown, 2018.</w:t>
      </w:r>
      <w:r w:rsidRPr="008635A2">
        <w:br/>
        <w:t>Influential argument that libraries function as core social infrastructure—strongly aligned with the hybrid thesis.</w:t>
      </w:r>
    </w:p>
    <w:p w14:paraId="3677AC34" w14:textId="77777777" w:rsidR="008635A2" w:rsidRPr="008635A2" w:rsidRDefault="008635A2" w:rsidP="008635A2">
      <w:r w:rsidRPr="008635A2">
        <w:rPr>
          <w:b/>
          <w:bCs/>
        </w:rPr>
        <w:t>American Library Association. Various policy and program reports.</w:t>
      </w:r>
      <w:r w:rsidRPr="008635A2">
        <w:br/>
        <w:t>Document libraries’ expanding roles in digital equity, workforce support, and community services.</w:t>
      </w:r>
    </w:p>
    <w:p w14:paraId="28160B87" w14:textId="77777777" w:rsidR="008635A2" w:rsidRPr="008635A2" w:rsidRDefault="008635A2" w:rsidP="008635A2">
      <w:r w:rsidRPr="008635A2">
        <w:rPr>
          <w:b/>
          <w:bCs/>
        </w:rPr>
        <w:t>(</w:t>
      </w:r>
      <w:hyperlink r:id="rId11" w:tooltip="Pack Horse Library Project" w:history="1">
        <w:r w:rsidRPr="008635A2">
          <w:rPr>
            <w:rStyle w:val="Hyperlink"/>
            <w:b/>
            <w:bCs/>
          </w:rPr>
          <w:t>Wikipedia</w:t>
        </w:r>
      </w:hyperlink>
      <w:r w:rsidRPr="008635A2">
        <w:rPr>
          <w:b/>
          <w:bCs/>
        </w:rPr>
        <w:t>)</w:t>
      </w:r>
      <w:r w:rsidRPr="008635A2">
        <w:br/>
        <w:t>The Pack Horse Library Project illustrates how libraries historically expanded access to underserved populations, reaching ~100,000 rural residents.</w:t>
      </w:r>
    </w:p>
    <w:p w14:paraId="70C4FC34" w14:textId="77777777" w:rsidR="008635A2" w:rsidRPr="008635A2" w:rsidRDefault="008635A2" w:rsidP="008635A2">
      <w:r w:rsidRPr="008635A2">
        <w:rPr>
          <w:b/>
          <w:bCs/>
        </w:rPr>
        <w:lastRenderedPageBreak/>
        <w:t>(</w:t>
      </w:r>
      <w:hyperlink r:id="rId12" w:tooltip="Library War Service" w:history="1">
        <w:r w:rsidRPr="008635A2">
          <w:rPr>
            <w:rStyle w:val="Hyperlink"/>
            <w:b/>
            <w:bCs/>
          </w:rPr>
          <w:t>Wikipedia</w:t>
        </w:r>
      </w:hyperlink>
      <w:r w:rsidRPr="008635A2">
        <w:rPr>
          <w:b/>
          <w:bCs/>
        </w:rPr>
        <w:t>)</w:t>
      </w:r>
      <w:r w:rsidRPr="008635A2">
        <w:br/>
        <w:t>The Library War Service shows libraries’ early role in national service, distributing millions of books to soldiers.</w:t>
      </w:r>
    </w:p>
    <w:p w14:paraId="500C3FA4" w14:textId="77777777" w:rsidR="008635A2" w:rsidRPr="008635A2" w:rsidRDefault="00000000" w:rsidP="008635A2">
      <w:r>
        <w:pict w14:anchorId="1EBAB58D">
          <v:rect id="_x0000_i1088" style="width:0;height:1.5pt" o:hralign="center" o:hrstd="t" o:hr="t" fillcolor="#a0a0a0" stroked="f"/>
        </w:pict>
      </w:r>
    </w:p>
    <w:p w14:paraId="00F24E06" w14:textId="77777777" w:rsidR="008635A2" w:rsidRPr="008635A2" w:rsidRDefault="008635A2" w:rsidP="008635A2">
      <w:pPr>
        <w:rPr>
          <w:b/>
          <w:bCs/>
        </w:rPr>
      </w:pPr>
      <w:r w:rsidRPr="008635A2">
        <w:rPr>
          <w:rFonts w:ascii="Segoe UI Emoji" w:hAnsi="Segoe UI Emoji" w:cs="Segoe UI Emoji"/>
          <w:b/>
          <w:bCs/>
        </w:rPr>
        <w:t>🏛️</w:t>
      </w:r>
      <w:r w:rsidRPr="008635A2">
        <w:rPr>
          <w:b/>
          <w:bCs/>
        </w:rPr>
        <w:t xml:space="preserve"> Core References: Bourse du Travail</w:t>
      </w:r>
    </w:p>
    <w:p w14:paraId="6AA7EEAE" w14:textId="77777777" w:rsidR="008635A2" w:rsidRPr="008635A2" w:rsidRDefault="008635A2" w:rsidP="008635A2">
      <w:pPr>
        <w:rPr>
          <w:b/>
          <w:bCs/>
        </w:rPr>
      </w:pPr>
      <w:r w:rsidRPr="008635A2">
        <w:rPr>
          <w:b/>
          <w:bCs/>
        </w:rPr>
        <w:t>Primary and classic sources</w:t>
      </w:r>
    </w:p>
    <w:p w14:paraId="477C7363" w14:textId="77777777" w:rsidR="008635A2" w:rsidRPr="008635A2" w:rsidRDefault="008635A2" w:rsidP="008635A2">
      <w:proofErr w:type="spellStart"/>
      <w:r w:rsidRPr="008635A2">
        <w:rPr>
          <w:b/>
          <w:bCs/>
        </w:rPr>
        <w:t>Pelloutier</w:t>
      </w:r>
      <w:proofErr w:type="spellEnd"/>
      <w:r w:rsidRPr="008635A2">
        <w:rPr>
          <w:b/>
          <w:bCs/>
        </w:rPr>
        <w:t xml:space="preserve">, Fernand. </w:t>
      </w:r>
      <w:r w:rsidRPr="008635A2">
        <w:rPr>
          <w:b/>
          <w:bCs/>
          <w:i/>
          <w:iCs/>
        </w:rPr>
        <w:t>Histoire des Bourses du Travail</w:t>
      </w:r>
      <w:r w:rsidRPr="008635A2">
        <w:rPr>
          <w:b/>
          <w:bCs/>
        </w:rPr>
        <w:t>.</w:t>
      </w:r>
      <w:r w:rsidRPr="008635A2">
        <w:t xml:space="preserve"> Paris, 1902.</w:t>
      </w:r>
      <w:r w:rsidRPr="008635A2">
        <w:br/>
        <w:t>Foundational primary text describing the movement’s goals and structure.</w:t>
      </w:r>
    </w:p>
    <w:p w14:paraId="0C636AAB" w14:textId="77777777" w:rsidR="008635A2" w:rsidRPr="008635A2" w:rsidRDefault="008635A2" w:rsidP="008635A2">
      <w:r w:rsidRPr="008635A2">
        <w:rPr>
          <w:b/>
          <w:bCs/>
        </w:rPr>
        <w:t>(</w:t>
      </w:r>
      <w:proofErr w:type="spellStart"/>
      <w:r w:rsidRPr="008635A2">
        <w:rPr>
          <w:b/>
          <w:bCs/>
        </w:rPr>
        <w:fldChar w:fldCharType="begin"/>
      </w:r>
      <w:r w:rsidRPr="008635A2">
        <w:rPr>
          <w:b/>
          <w:bCs/>
        </w:rPr>
        <w:instrText>HYPERLINK "https://libcom.org/article/history-bourses-du-travail-fernand-pelloutier?utm_source=chatgpt.com" \o "History of the bourses du travail - Fernand Pelloutier"</w:instrText>
      </w:r>
      <w:r w:rsidRPr="008635A2">
        <w:rPr>
          <w:b/>
          <w:bCs/>
        </w:rPr>
      </w:r>
      <w:r w:rsidRPr="008635A2">
        <w:rPr>
          <w:b/>
          <w:bCs/>
        </w:rPr>
        <w:fldChar w:fldCharType="separate"/>
      </w:r>
      <w:r w:rsidRPr="008635A2">
        <w:rPr>
          <w:rStyle w:val="Hyperlink"/>
          <w:b/>
          <w:bCs/>
        </w:rPr>
        <w:t>Libcom</w:t>
      </w:r>
      <w:proofErr w:type="spellEnd"/>
      <w:r w:rsidRPr="008635A2">
        <w:fldChar w:fldCharType="end"/>
      </w:r>
      <w:r w:rsidRPr="008635A2">
        <w:rPr>
          <w:b/>
          <w:bCs/>
        </w:rPr>
        <w:t>)</w:t>
      </w:r>
      <w:r w:rsidRPr="008635A2">
        <w:br/>
      </w:r>
      <w:proofErr w:type="spellStart"/>
      <w:r w:rsidRPr="008635A2">
        <w:t>Pelloutier</w:t>
      </w:r>
      <w:proofErr w:type="spellEnd"/>
      <w:r w:rsidRPr="008635A2">
        <w:t xml:space="preserve"> documented the Bourses’ ambitious programs, including libraries, adult education, and statistical services.</w:t>
      </w:r>
    </w:p>
    <w:p w14:paraId="5CFFE375" w14:textId="77777777" w:rsidR="008635A2" w:rsidRPr="008635A2" w:rsidRDefault="00000000" w:rsidP="008635A2">
      <w:r>
        <w:pict w14:anchorId="7BD3929F">
          <v:rect id="_x0000_i1089" style="width:0;height:1.5pt" o:hralign="center" o:hrstd="t" o:hr="t" fillcolor="#a0a0a0" stroked="f"/>
        </w:pict>
      </w:r>
    </w:p>
    <w:p w14:paraId="5FC5E854" w14:textId="77777777" w:rsidR="008635A2" w:rsidRPr="008635A2" w:rsidRDefault="008635A2" w:rsidP="008635A2">
      <w:pPr>
        <w:rPr>
          <w:b/>
          <w:bCs/>
        </w:rPr>
      </w:pPr>
      <w:r w:rsidRPr="008635A2">
        <w:rPr>
          <w:b/>
          <w:bCs/>
        </w:rPr>
        <w:t>Scholarly analyses</w:t>
      </w:r>
    </w:p>
    <w:p w14:paraId="466EBCC6" w14:textId="77777777" w:rsidR="008635A2" w:rsidRPr="008635A2" w:rsidRDefault="008635A2" w:rsidP="008635A2">
      <w:r w:rsidRPr="008635A2">
        <w:rPr>
          <w:b/>
          <w:bCs/>
        </w:rPr>
        <w:t xml:space="preserve">Tucker, Kenneth H. </w:t>
      </w:r>
      <w:r w:rsidRPr="008635A2">
        <w:rPr>
          <w:b/>
          <w:bCs/>
          <w:i/>
          <w:iCs/>
        </w:rPr>
        <w:t>French Revolutionary Syndicalism and the Public Sphere</w:t>
      </w:r>
      <w:r w:rsidRPr="008635A2">
        <w:rPr>
          <w:b/>
          <w:bCs/>
        </w:rPr>
        <w:t>.</w:t>
      </w:r>
      <w:r w:rsidRPr="008635A2">
        <w:t xml:space="preserve"> Cambridge University Press, 1996.</w:t>
      </w:r>
      <w:r w:rsidRPr="008635A2">
        <w:br/>
        <w:t>Key scholarly work on the Bourses as democratic worker spaces.</w:t>
      </w:r>
    </w:p>
    <w:p w14:paraId="214CE51A" w14:textId="77777777" w:rsidR="008635A2" w:rsidRPr="008635A2" w:rsidRDefault="008635A2" w:rsidP="008635A2">
      <w:r w:rsidRPr="008635A2">
        <w:rPr>
          <w:b/>
          <w:bCs/>
        </w:rPr>
        <w:t xml:space="preserve">Amdur, Kathryn E. </w:t>
      </w:r>
      <w:r w:rsidRPr="008635A2">
        <w:rPr>
          <w:b/>
          <w:bCs/>
          <w:i/>
          <w:iCs/>
        </w:rPr>
        <w:t>Syndicalist Legacy</w:t>
      </w:r>
      <w:r w:rsidRPr="008635A2">
        <w:rPr>
          <w:b/>
          <w:bCs/>
        </w:rPr>
        <w:t>.</w:t>
      </w:r>
      <w:r w:rsidRPr="008635A2">
        <w:t xml:space="preserve"> University of Illinois Press, 1986.</w:t>
      </w:r>
      <w:r w:rsidRPr="008635A2">
        <w:br/>
        <w:t>Examines the institutional development and limits of the Bourse system.</w:t>
      </w:r>
    </w:p>
    <w:p w14:paraId="1DFDE2E0" w14:textId="77777777" w:rsidR="008635A2" w:rsidRPr="008635A2" w:rsidRDefault="008635A2" w:rsidP="008635A2">
      <w:r w:rsidRPr="008635A2">
        <w:rPr>
          <w:b/>
          <w:bCs/>
        </w:rPr>
        <w:t xml:space="preserve">Berry, David. </w:t>
      </w:r>
      <w:r w:rsidRPr="008635A2">
        <w:rPr>
          <w:b/>
          <w:bCs/>
          <w:i/>
          <w:iCs/>
        </w:rPr>
        <w:t>Anarchism, Syndicalism and the Bolshevik Challenge in France</w:t>
      </w:r>
      <w:r w:rsidRPr="008635A2">
        <w:rPr>
          <w:b/>
          <w:bCs/>
        </w:rPr>
        <w:t>.</w:t>
      </w:r>
      <w:r w:rsidRPr="008635A2">
        <w:t xml:space="preserve"> 2006.</w:t>
      </w:r>
      <w:r w:rsidRPr="008635A2">
        <w:br/>
        <w:t>Places the Bourses within broader revolutionary syndicalism.</w:t>
      </w:r>
    </w:p>
    <w:p w14:paraId="2FF56958" w14:textId="77777777" w:rsidR="008635A2" w:rsidRPr="008635A2" w:rsidRDefault="00000000" w:rsidP="008635A2">
      <w:r>
        <w:pict w14:anchorId="7EACEB00">
          <v:rect id="_x0000_i1090" style="width:0;height:1.5pt" o:hralign="center" o:hrstd="t" o:hr="t" fillcolor="#a0a0a0" stroked="f"/>
        </w:pict>
      </w:r>
    </w:p>
    <w:p w14:paraId="74D710C2" w14:textId="77777777" w:rsidR="008635A2" w:rsidRPr="008635A2" w:rsidRDefault="008635A2" w:rsidP="008635A2">
      <w:pPr>
        <w:rPr>
          <w:b/>
          <w:bCs/>
        </w:rPr>
      </w:pPr>
      <w:r w:rsidRPr="008635A2">
        <w:rPr>
          <w:b/>
          <w:bCs/>
        </w:rPr>
        <w:t>Institutional role and functions</w:t>
      </w:r>
    </w:p>
    <w:p w14:paraId="79AAE0BA" w14:textId="77777777" w:rsidR="008635A2" w:rsidRPr="008635A2" w:rsidRDefault="008635A2" w:rsidP="008635A2">
      <w:r w:rsidRPr="008635A2">
        <w:rPr>
          <w:b/>
          <w:bCs/>
        </w:rPr>
        <w:t>(</w:t>
      </w:r>
      <w:hyperlink r:id="rId13" w:tooltip="Bourse du Travail" w:history="1">
        <w:r w:rsidRPr="008635A2">
          <w:rPr>
            <w:rStyle w:val="Hyperlink"/>
            <w:b/>
            <w:bCs/>
          </w:rPr>
          <w:t>Wikipedia</w:t>
        </w:r>
      </w:hyperlink>
      <w:r w:rsidRPr="008635A2">
        <w:rPr>
          <w:b/>
          <w:bCs/>
        </w:rPr>
        <w:t>)</w:t>
      </w:r>
      <w:r w:rsidRPr="008635A2">
        <w:br/>
        <w:t>Bourses du Travail emerged with municipal support in late-19th-century France, providing job placement while also serving as centers of working-class culture.</w:t>
      </w:r>
    </w:p>
    <w:p w14:paraId="2B7C4252" w14:textId="77777777" w:rsidR="008635A2" w:rsidRPr="008635A2" w:rsidRDefault="008635A2" w:rsidP="008635A2">
      <w:r w:rsidRPr="008635A2">
        <w:rPr>
          <w:b/>
          <w:bCs/>
        </w:rPr>
        <w:t>(</w:t>
      </w:r>
      <w:hyperlink r:id="rId14" w:tooltip="Bourse du Travail" w:history="1">
        <w:r w:rsidRPr="008635A2">
          <w:rPr>
            <w:rStyle w:val="Hyperlink"/>
            <w:b/>
            <w:bCs/>
          </w:rPr>
          <w:t>Wikipedia</w:t>
        </w:r>
      </w:hyperlink>
      <w:r w:rsidRPr="008635A2">
        <w:rPr>
          <w:b/>
          <w:bCs/>
        </w:rPr>
        <w:t>)</w:t>
      </w:r>
      <w:r w:rsidRPr="008635A2">
        <w:br/>
        <w:t>Most Bourses contained libraries, classrooms, meeting halls, and theatres, hosting classes, political discussions, and community celebrations.</w:t>
      </w:r>
    </w:p>
    <w:p w14:paraId="59091C47" w14:textId="77777777" w:rsidR="008635A2" w:rsidRPr="008635A2" w:rsidRDefault="00000000" w:rsidP="008635A2">
      <w:r>
        <w:pict w14:anchorId="4AC047F9">
          <v:rect id="_x0000_i1091" style="width:0;height:1.5pt" o:hralign="center" o:hrstd="t" o:hr="t" fillcolor="#a0a0a0" stroked="f"/>
        </w:pict>
      </w:r>
    </w:p>
    <w:p w14:paraId="4D8EBD7D" w14:textId="77777777" w:rsidR="008635A2" w:rsidRPr="008635A2" w:rsidRDefault="008635A2" w:rsidP="008635A2">
      <w:pPr>
        <w:rPr>
          <w:b/>
          <w:bCs/>
        </w:rPr>
      </w:pPr>
      <w:r w:rsidRPr="008635A2">
        <w:rPr>
          <w:rFonts w:ascii="Segoe UI Emoji" w:hAnsi="Segoe UI Emoji" w:cs="Segoe UI Emoji"/>
          <w:b/>
          <w:bCs/>
        </w:rPr>
        <w:t>🎭</w:t>
      </w:r>
      <w:r w:rsidRPr="008635A2">
        <w:rPr>
          <w:b/>
          <w:bCs/>
        </w:rPr>
        <w:t xml:space="preserve"> Cultural and Educational Functions</w:t>
      </w:r>
    </w:p>
    <w:p w14:paraId="78083B40" w14:textId="77777777" w:rsidR="008635A2" w:rsidRPr="008635A2" w:rsidRDefault="008635A2" w:rsidP="008635A2">
      <w:pPr>
        <w:rPr>
          <w:b/>
          <w:bCs/>
        </w:rPr>
      </w:pPr>
      <w:r w:rsidRPr="008635A2">
        <w:rPr>
          <w:b/>
          <w:bCs/>
        </w:rPr>
        <w:t>Worker culture and mutual aid</w:t>
      </w:r>
    </w:p>
    <w:p w14:paraId="6ED5F418" w14:textId="77777777" w:rsidR="008635A2" w:rsidRPr="008635A2" w:rsidRDefault="008635A2" w:rsidP="008635A2">
      <w:proofErr w:type="spellStart"/>
      <w:r w:rsidRPr="008635A2">
        <w:rPr>
          <w:b/>
          <w:bCs/>
        </w:rPr>
        <w:lastRenderedPageBreak/>
        <w:t>Rosanvallon</w:t>
      </w:r>
      <w:proofErr w:type="spellEnd"/>
      <w:r w:rsidRPr="008635A2">
        <w:rPr>
          <w:b/>
          <w:bCs/>
        </w:rPr>
        <w:t xml:space="preserve">, Pierre. </w:t>
      </w:r>
      <w:r w:rsidRPr="008635A2">
        <w:rPr>
          <w:b/>
          <w:bCs/>
          <w:i/>
          <w:iCs/>
        </w:rPr>
        <w:t>The Crisis of the Welfare State</w:t>
      </w:r>
      <w:r w:rsidRPr="008635A2">
        <w:rPr>
          <w:b/>
          <w:bCs/>
        </w:rPr>
        <w:t>.</w:t>
      </w:r>
      <w:r w:rsidRPr="008635A2">
        <w:t xml:space="preserve"> Princeton University Press, 2000.</w:t>
      </w:r>
      <w:r w:rsidRPr="008635A2">
        <w:br/>
        <w:t>Provides context for mutual-aid traditions and worker institutions.</w:t>
      </w:r>
    </w:p>
    <w:p w14:paraId="210221A6" w14:textId="77777777" w:rsidR="008635A2" w:rsidRPr="008635A2" w:rsidRDefault="008635A2" w:rsidP="008635A2">
      <w:r w:rsidRPr="008635A2">
        <w:rPr>
          <w:b/>
          <w:bCs/>
        </w:rPr>
        <w:t xml:space="preserve">Sewell, William H. Jr. </w:t>
      </w:r>
      <w:r w:rsidRPr="008635A2">
        <w:rPr>
          <w:b/>
          <w:bCs/>
          <w:i/>
          <w:iCs/>
        </w:rPr>
        <w:t>Work and Revolution in France</w:t>
      </w:r>
      <w:r w:rsidRPr="008635A2">
        <w:rPr>
          <w:b/>
          <w:bCs/>
        </w:rPr>
        <w:t>.</w:t>
      </w:r>
      <w:r w:rsidRPr="008635A2">
        <w:t xml:space="preserve"> Cambridge University Press, 1980.</w:t>
      </w:r>
      <w:r w:rsidRPr="008635A2">
        <w:br/>
        <w:t>Explains the cultural and associational life of French workers.</w:t>
      </w:r>
    </w:p>
    <w:p w14:paraId="69D1AA8E" w14:textId="77777777" w:rsidR="008635A2" w:rsidRPr="008635A2" w:rsidRDefault="008635A2" w:rsidP="008635A2">
      <w:r w:rsidRPr="008635A2">
        <w:rPr>
          <w:b/>
          <w:bCs/>
        </w:rPr>
        <w:t>(</w:t>
      </w:r>
      <w:hyperlink r:id="rId15" w:tooltip="Bourse du Travail" w:history="1">
        <w:r w:rsidRPr="008635A2">
          <w:rPr>
            <w:rStyle w:val="Hyperlink"/>
            <w:b/>
            <w:bCs/>
          </w:rPr>
          <w:t>Wikipedia</w:t>
        </w:r>
      </w:hyperlink>
      <w:r w:rsidRPr="008635A2">
        <w:rPr>
          <w:b/>
          <w:bCs/>
        </w:rPr>
        <w:t>)</w:t>
      </w:r>
      <w:r w:rsidRPr="008635A2">
        <w:br/>
        <w:t>Bourses functioned as secular community centers replacing some roles previously held by churches.</w:t>
      </w:r>
    </w:p>
    <w:p w14:paraId="2B88EDD7" w14:textId="77777777" w:rsidR="008635A2" w:rsidRPr="008635A2" w:rsidRDefault="00000000" w:rsidP="008635A2">
      <w:r>
        <w:pict w14:anchorId="4D9607BA">
          <v:rect id="_x0000_i1092" style="width:0;height:1.5pt" o:hralign="center" o:hrstd="t" o:hr="t" fillcolor="#a0a0a0" stroked="f"/>
        </w:pict>
      </w:r>
    </w:p>
    <w:p w14:paraId="3F192C4B" w14:textId="77777777" w:rsidR="008635A2" w:rsidRPr="008635A2" w:rsidRDefault="008635A2" w:rsidP="008635A2">
      <w:pPr>
        <w:rPr>
          <w:b/>
          <w:bCs/>
        </w:rPr>
      </w:pPr>
      <w:r w:rsidRPr="008635A2">
        <w:rPr>
          <w:rFonts w:ascii="Segoe UI Emoji" w:hAnsi="Segoe UI Emoji" w:cs="Segoe UI Emoji"/>
          <w:b/>
          <w:bCs/>
        </w:rPr>
        <w:t>📊</w:t>
      </w:r>
      <w:r w:rsidRPr="008635A2">
        <w:rPr>
          <w:b/>
          <w:bCs/>
        </w:rPr>
        <w:t xml:space="preserve"> Comparative and Theoretical Frames</w:t>
      </w:r>
    </w:p>
    <w:p w14:paraId="43C51542" w14:textId="77777777" w:rsidR="008635A2" w:rsidRPr="008635A2" w:rsidRDefault="008635A2" w:rsidP="008635A2">
      <w:pPr>
        <w:rPr>
          <w:b/>
          <w:bCs/>
        </w:rPr>
      </w:pPr>
      <w:r w:rsidRPr="008635A2">
        <w:rPr>
          <w:b/>
          <w:bCs/>
        </w:rPr>
        <w:t>Libraries and democracy</w:t>
      </w:r>
    </w:p>
    <w:p w14:paraId="7ACD60E9" w14:textId="77777777" w:rsidR="008635A2" w:rsidRPr="008635A2" w:rsidRDefault="008635A2" w:rsidP="008635A2">
      <w:r w:rsidRPr="008635A2">
        <w:rPr>
          <w:b/>
          <w:bCs/>
        </w:rPr>
        <w:t xml:space="preserve">Putnam, Robert D. </w:t>
      </w:r>
      <w:r w:rsidRPr="008635A2">
        <w:rPr>
          <w:b/>
          <w:bCs/>
          <w:i/>
          <w:iCs/>
        </w:rPr>
        <w:t>Bowling Alone</w:t>
      </w:r>
      <w:r w:rsidRPr="008635A2">
        <w:rPr>
          <w:b/>
          <w:bCs/>
        </w:rPr>
        <w:t>.</w:t>
      </w:r>
      <w:r w:rsidRPr="008635A2">
        <w:t xml:space="preserve"> Simon &amp; Schuster, 2000.</w:t>
      </w:r>
      <w:r w:rsidRPr="008635A2">
        <w:br/>
        <w:t>Foundational for understanding civic infrastructure and social capital.</w:t>
      </w:r>
    </w:p>
    <w:p w14:paraId="340BC5FA" w14:textId="77777777" w:rsidR="008635A2" w:rsidRPr="008635A2" w:rsidRDefault="008635A2" w:rsidP="008635A2">
      <w:r w:rsidRPr="008635A2">
        <w:rPr>
          <w:b/>
          <w:bCs/>
        </w:rPr>
        <w:t xml:space="preserve">Nussbaum, Martha C. </w:t>
      </w:r>
      <w:r w:rsidRPr="008635A2">
        <w:rPr>
          <w:b/>
          <w:bCs/>
          <w:i/>
          <w:iCs/>
        </w:rPr>
        <w:t>Not for Profit: Why Democracy Needs the Humanities</w:t>
      </w:r>
      <w:r w:rsidRPr="008635A2">
        <w:rPr>
          <w:b/>
          <w:bCs/>
        </w:rPr>
        <w:t>.</w:t>
      </w:r>
      <w:r w:rsidRPr="008635A2">
        <w:t xml:space="preserve"> Princeton University Press, 2010.</w:t>
      </w:r>
      <w:r w:rsidRPr="008635A2">
        <w:br/>
        <w:t>Supports the liberal-education framing used in the hybrid model.</w:t>
      </w:r>
    </w:p>
    <w:p w14:paraId="42B6E10F" w14:textId="77777777" w:rsidR="008635A2" w:rsidRPr="008635A2" w:rsidRDefault="00000000" w:rsidP="008635A2">
      <w:r>
        <w:pict w14:anchorId="0FB35678">
          <v:rect id="_x0000_i1093" style="width:0;height:1.5pt" o:hralign="center" o:hrstd="t" o:hr="t" fillcolor="#a0a0a0" stroked="f"/>
        </w:pict>
      </w:r>
    </w:p>
    <w:p w14:paraId="7CE4E319" w14:textId="77777777" w:rsidR="008635A2" w:rsidRPr="008635A2" w:rsidRDefault="008635A2" w:rsidP="008635A2">
      <w:pPr>
        <w:rPr>
          <w:b/>
          <w:bCs/>
        </w:rPr>
      </w:pPr>
      <w:r w:rsidRPr="008635A2">
        <w:rPr>
          <w:b/>
          <w:bCs/>
        </w:rPr>
        <w:t>Syndicalism and worker self-management</w:t>
      </w:r>
    </w:p>
    <w:p w14:paraId="73E93070" w14:textId="77777777" w:rsidR="008635A2" w:rsidRPr="008635A2" w:rsidRDefault="008635A2" w:rsidP="008635A2">
      <w:r w:rsidRPr="008635A2">
        <w:rPr>
          <w:b/>
          <w:bCs/>
        </w:rPr>
        <w:t xml:space="preserve">Sorel, Georges. </w:t>
      </w:r>
      <w:r w:rsidRPr="008635A2">
        <w:rPr>
          <w:b/>
          <w:bCs/>
          <w:i/>
          <w:iCs/>
        </w:rPr>
        <w:t>Reflections on Violence</w:t>
      </w:r>
      <w:r w:rsidRPr="008635A2">
        <w:rPr>
          <w:b/>
          <w:bCs/>
        </w:rPr>
        <w:t>.</w:t>
      </w:r>
      <w:r w:rsidRPr="008635A2">
        <w:t xml:space="preserve"> Cambridge University Press, 1908/1999.</w:t>
      </w:r>
      <w:r w:rsidRPr="008635A2">
        <w:br/>
        <w:t>Important intellectual backdrop for revolutionary syndicalism.</w:t>
      </w:r>
    </w:p>
    <w:p w14:paraId="53F42A5A" w14:textId="77777777" w:rsidR="008635A2" w:rsidRPr="008635A2" w:rsidRDefault="008635A2" w:rsidP="008635A2">
      <w:r w:rsidRPr="008635A2">
        <w:rPr>
          <w:b/>
          <w:bCs/>
        </w:rPr>
        <w:t>(</w:t>
      </w:r>
      <w:hyperlink r:id="rId16" w:tooltip="Sorel: Reflections on Violence" w:history="1">
        <w:r w:rsidRPr="008635A2">
          <w:rPr>
            <w:rStyle w:val="Hyperlink"/>
            <w:b/>
            <w:bCs/>
          </w:rPr>
          <w:t>Platypus Affiliated Society</w:t>
        </w:r>
      </w:hyperlink>
      <w:r w:rsidRPr="008635A2">
        <w:rPr>
          <w:b/>
          <w:bCs/>
        </w:rPr>
        <w:t>)</w:t>
      </w:r>
      <w:r w:rsidRPr="008635A2">
        <w:br/>
        <w:t>Sorel emphasized the mobilizing myth of the general strike within syndicalist theory.</w:t>
      </w:r>
    </w:p>
    <w:p w14:paraId="5909ADAA" w14:textId="77777777" w:rsidR="008635A2" w:rsidRPr="008635A2" w:rsidRDefault="00000000" w:rsidP="008635A2">
      <w:r>
        <w:pict w14:anchorId="6E0902A5">
          <v:rect id="_x0000_i1094" style="width:0;height:1.5pt" o:hralign="center" o:hrstd="t" o:hr="t" fillcolor="#a0a0a0" stroked="f"/>
        </w:pict>
      </w:r>
    </w:p>
    <w:p w14:paraId="63582CF8" w14:textId="77777777" w:rsidR="008635A2" w:rsidRPr="008635A2" w:rsidRDefault="008635A2" w:rsidP="008635A2">
      <w:pPr>
        <w:rPr>
          <w:b/>
          <w:bCs/>
        </w:rPr>
      </w:pPr>
      <w:r w:rsidRPr="008635A2">
        <w:rPr>
          <w:rFonts w:ascii="Segoe UI Emoji" w:hAnsi="Segoe UI Emoji" w:cs="Segoe UI Emoji"/>
          <w:b/>
          <w:bCs/>
        </w:rPr>
        <w:t>🎓</w:t>
      </w:r>
      <w:r w:rsidRPr="008635A2">
        <w:rPr>
          <w:b/>
          <w:bCs/>
        </w:rPr>
        <w:t xml:space="preserve"> AAC&amp;U and Liberal Education Alignment</w:t>
      </w:r>
    </w:p>
    <w:p w14:paraId="48C21A9B" w14:textId="77777777" w:rsidR="008635A2" w:rsidRPr="008635A2" w:rsidRDefault="008635A2" w:rsidP="008635A2">
      <w:r w:rsidRPr="008635A2">
        <w:rPr>
          <w:b/>
          <w:bCs/>
        </w:rPr>
        <w:t xml:space="preserve">Association of American Colleges &amp; Universities (AAC&amp;U). </w:t>
      </w:r>
      <w:r w:rsidRPr="008635A2">
        <w:rPr>
          <w:b/>
          <w:bCs/>
          <w:i/>
          <w:iCs/>
        </w:rPr>
        <w:t>Essential Learning Outcomes</w:t>
      </w:r>
      <w:r w:rsidRPr="008635A2">
        <w:rPr>
          <w:b/>
          <w:bCs/>
        </w:rPr>
        <w:t>.</w:t>
      </w:r>
      <w:r w:rsidRPr="008635A2">
        <w:br/>
        <w:t>Primary framework used in the alignment slides and analysis.</w:t>
      </w:r>
    </w:p>
    <w:p w14:paraId="59839774" w14:textId="77777777" w:rsidR="008635A2" w:rsidRPr="008635A2" w:rsidRDefault="008635A2" w:rsidP="008635A2">
      <w:r w:rsidRPr="008635A2">
        <w:rPr>
          <w:b/>
          <w:bCs/>
        </w:rPr>
        <w:t xml:space="preserve">Rhodes, Terrel L., ed. </w:t>
      </w:r>
      <w:r w:rsidRPr="008635A2">
        <w:rPr>
          <w:b/>
          <w:bCs/>
          <w:i/>
          <w:iCs/>
        </w:rPr>
        <w:t>Using the VALUE Rubrics for Improvement of Learning and Authentic Assessment</w:t>
      </w:r>
      <w:r w:rsidRPr="008635A2">
        <w:rPr>
          <w:b/>
          <w:bCs/>
        </w:rPr>
        <w:t>.</w:t>
      </w:r>
      <w:r w:rsidRPr="008635A2">
        <w:t xml:space="preserve"> AAC&amp;U, 2010.</w:t>
      </w:r>
      <w:r w:rsidRPr="008635A2">
        <w:br/>
        <w:t>Supports the assessment recommendations provided earlier.</w:t>
      </w:r>
    </w:p>
    <w:p w14:paraId="2856339B" w14:textId="77777777" w:rsidR="008635A2" w:rsidRPr="008635A2" w:rsidRDefault="00000000" w:rsidP="008635A2">
      <w:r>
        <w:pict w14:anchorId="6AB777F6">
          <v:rect id="_x0000_i1095" style="width:0;height:1.5pt" o:hralign="center" o:hrstd="t" o:hr="t" fillcolor="#a0a0a0" stroked="f"/>
        </w:pict>
      </w:r>
    </w:p>
    <w:p w14:paraId="0E067B75" w14:textId="77777777" w:rsidR="008635A2" w:rsidRPr="008635A2" w:rsidRDefault="008635A2" w:rsidP="008635A2">
      <w:pPr>
        <w:rPr>
          <w:b/>
          <w:bCs/>
        </w:rPr>
      </w:pPr>
      <w:r w:rsidRPr="008635A2">
        <w:rPr>
          <w:rFonts w:ascii="Segoe UI Emoji" w:hAnsi="Segoe UI Emoji" w:cs="Segoe UI Emoji"/>
          <w:b/>
          <w:bCs/>
        </w:rPr>
        <w:t>🧭</w:t>
      </w:r>
      <w:r w:rsidRPr="008635A2">
        <w:rPr>
          <w:b/>
          <w:bCs/>
        </w:rPr>
        <w:t xml:space="preserve"> Contemporary Library Evolution</w:t>
      </w:r>
    </w:p>
    <w:p w14:paraId="29BAE92F" w14:textId="77777777" w:rsidR="008635A2" w:rsidRPr="008635A2" w:rsidRDefault="008635A2" w:rsidP="008635A2">
      <w:r w:rsidRPr="008635A2">
        <w:rPr>
          <w:b/>
          <w:bCs/>
        </w:rPr>
        <w:t xml:space="preserve">American Library Association. </w:t>
      </w:r>
      <w:r w:rsidRPr="008635A2">
        <w:rPr>
          <w:b/>
          <w:bCs/>
          <w:i/>
          <w:iCs/>
        </w:rPr>
        <w:t>State of America’s Libraries</w:t>
      </w:r>
      <w:r w:rsidRPr="008635A2">
        <w:rPr>
          <w:b/>
          <w:bCs/>
        </w:rPr>
        <w:t xml:space="preserve"> (annual reports).</w:t>
      </w:r>
      <w:r w:rsidRPr="008635A2">
        <w:br/>
        <w:t>Documents current trends in digital access, workforce support, and community roles.</w:t>
      </w:r>
    </w:p>
    <w:p w14:paraId="029073F7" w14:textId="77777777" w:rsidR="008635A2" w:rsidRPr="008635A2" w:rsidRDefault="008635A2" w:rsidP="008635A2">
      <w:r w:rsidRPr="008635A2">
        <w:rPr>
          <w:b/>
          <w:bCs/>
        </w:rPr>
        <w:lastRenderedPageBreak/>
        <w:t>Real, Brian, and Michael Rose. “Rural Libraries in the United States.”</w:t>
      </w:r>
      <w:r w:rsidRPr="008635A2">
        <w:t xml:space="preserve"> IMLS, 2017.</w:t>
      </w:r>
      <w:r w:rsidRPr="008635A2">
        <w:br/>
        <w:t>Shows libraries’ expanding role as community anchors.</w:t>
      </w:r>
    </w:p>
    <w:p w14:paraId="7ABD6D92" w14:textId="77777777" w:rsidR="008635A2" w:rsidRPr="008635A2" w:rsidRDefault="00000000" w:rsidP="008635A2">
      <w:r>
        <w:pict w14:anchorId="1B821AAC">
          <v:rect id="_x0000_i1096" style="width:0;height:1.5pt" o:hralign="center" o:hrstd="t" o:hr="t" fillcolor="#a0a0a0" stroked="f"/>
        </w:pict>
      </w:r>
    </w:p>
    <w:p w14:paraId="502165A3" w14:textId="77777777" w:rsidR="008635A2" w:rsidRPr="008635A2" w:rsidRDefault="008635A2" w:rsidP="008635A2">
      <w:pPr>
        <w:rPr>
          <w:b/>
          <w:bCs/>
        </w:rPr>
      </w:pPr>
      <w:r w:rsidRPr="008635A2">
        <w:rPr>
          <w:rFonts w:ascii="Segoe UI Emoji" w:hAnsi="Segoe UI Emoji" w:cs="Segoe UI Emoji"/>
          <w:b/>
          <w:bCs/>
        </w:rPr>
        <w:t>✨</w:t>
      </w:r>
      <w:r w:rsidRPr="008635A2">
        <w:rPr>
          <w:b/>
          <w:bCs/>
        </w:rPr>
        <w:t xml:space="preserve"> Suggested Additional Scholarly Sources (for deeper OER work)</w:t>
      </w:r>
    </w:p>
    <w:p w14:paraId="2C4508D7" w14:textId="77777777" w:rsidR="008635A2" w:rsidRPr="008635A2" w:rsidRDefault="008635A2" w:rsidP="008635A2">
      <w:r w:rsidRPr="008635A2">
        <w:t>These were not directly quoted but strongly support the analytical frame used:</w:t>
      </w:r>
    </w:p>
    <w:p w14:paraId="6F70E5C9" w14:textId="77777777" w:rsidR="008635A2" w:rsidRPr="008635A2" w:rsidRDefault="008635A2" w:rsidP="008635A2">
      <w:pPr>
        <w:numPr>
          <w:ilvl w:val="0"/>
          <w:numId w:val="170"/>
        </w:numPr>
      </w:pPr>
      <w:r w:rsidRPr="008635A2">
        <w:t xml:space="preserve">Oldenburg, Ray. </w:t>
      </w:r>
      <w:r w:rsidRPr="008635A2">
        <w:rPr>
          <w:i/>
          <w:iCs/>
        </w:rPr>
        <w:t>The Great Good Place</w:t>
      </w:r>
      <w:r w:rsidRPr="008635A2">
        <w:t>.</w:t>
      </w:r>
    </w:p>
    <w:p w14:paraId="592C4D60" w14:textId="77777777" w:rsidR="008635A2" w:rsidRPr="008635A2" w:rsidRDefault="008635A2" w:rsidP="008635A2">
      <w:pPr>
        <w:numPr>
          <w:ilvl w:val="0"/>
          <w:numId w:val="170"/>
        </w:numPr>
      </w:pPr>
      <w:r w:rsidRPr="008635A2">
        <w:t xml:space="preserve">Klinenberg, Eric. </w:t>
      </w:r>
      <w:r w:rsidRPr="008635A2">
        <w:rPr>
          <w:i/>
          <w:iCs/>
        </w:rPr>
        <w:t>2020 follow-up essays on social infrastructure</w:t>
      </w:r>
      <w:r w:rsidRPr="008635A2">
        <w:t>.</w:t>
      </w:r>
    </w:p>
    <w:p w14:paraId="13A1315F" w14:textId="77777777" w:rsidR="008635A2" w:rsidRPr="008635A2" w:rsidRDefault="008635A2" w:rsidP="008635A2">
      <w:pPr>
        <w:numPr>
          <w:ilvl w:val="0"/>
          <w:numId w:val="170"/>
        </w:numPr>
      </w:pPr>
      <w:r w:rsidRPr="008635A2">
        <w:t xml:space="preserve">Scholz, Trebor. </w:t>
      </w:r>
      <w:r w:rsidRPr="008635A2">
        <w:rPr>
          <w:i/>
          <w:iCs/>
        </w:rPr>
        <w:t>Platform Cooperativism</w:t>
      </w:r>
      <w:r w:rsidRPr="008635A2">
        <w:t>.</w:t>
      </w:r>
    </w:p>
    <w:p w14:paraId="29EFC6A8" w14:textId="77777777" w:rsidR="008635A2" w:rsidRPr="008635A2" w:rsidRDefault="008635A2" w:rsidP="008635A2">
      <w:pPr>
        <w:numPr>
          <w:ilvl w:val="0"/>
          <w:numId w:val="170"/>
        </w:numPr>
      </w:pPr>
      <w:r w:rsidRPr="008635A2">
        <w:t xml:space="preserve">Ostrom, Elinor. </w:t>
      </w:r>
      <w:r w:rsidRPr="008635A2">
        <w:rPr>
          <w:i/>
          <w:iCs/>
        </w:rPr>
        <w:t>Governing the Commons</w:t>
      </w:r>
      <w:r w:rsidRPr="008635A2">
        <w:t>.</w:t>
      </w:r>
    </w:p>
    <w:p w14:paraId="6EA4D6E5" w14:textId="77777777" w:rsidR="008635A2" w:rsidRPr="008635A2" w:rsidRDefault="008635A2" w:rsidP="008635A2">
      <w:pPr>
        <w:numPr>
          <w:ilvl w:val="0"/>
          <w:numId w:val="170"/>
        </w:numPr>
      </w:pPr>
      <w:r w:rsidRPr="008635A2">
        <w:t xml:space="preserve">Freire, Paulo. </w:t>
      </w:r>
      <w:r w:rsidRPr="008635A2">
        <w:rPr>
          <w:i/>
          <w:iCs/>
        </w:rPr>
        <w:t>Pedagogy of the Oppressed</w:t>
      </w:r>
      <w:r w:rsidRPr="008635A2">
        <w:t>.</w:t>
      </w:r>
    </w:p>
    <w:p w14:paraId="44D5146A" w14:textId="77777777" w:rsidR="008635A2" w:rsidRPr="008635A2" w:rsidRDefault="00000000" w:rsidP="008635A2">
      <w:r>
        <w:pict w14:anchorId="6945E716">
          <v:rect id="_x0000_i1097" style="width:0;height:1.5pt" o:hralign="center" o:hrstd="t" o:hr="t" fillcolor="#a0a0a0" stroked="f"/>
        </w:pict>
      </w:r>
    </w:p>
    <w:p w14:paraId="53159897" w14:textId="6BE193F4" w:rsidR="008635A2" w:rsidRDefault="008635A2" w:rsidP="008635A2">
      <w:pPr>
        <w:pStyle w:val="Heading2"/>
      </w:pPr>
      <w:bookmarkStart w:id="5" w:name="_Toc223021754"/>
      <w:r>
        <w:t>Bibliography</w:t>
      </w:r>
      <w:bookmarkEnd w:id="5"/>
    </w:p>
    <w:p w14:paraId="4E93B35E" w14:textId="77777777" w:rsidR="008635A2" w:rsidRPr="008635A2" w:rsidRDefault="008635A2" w:rsidP="008635A2">
      <w:r w:rsidRPr="008635A2">
        <w:t xml:space="preserve">Below is a </w:t>
      </w:r>
      <w:r w:rsidRPr="008635A2">
        <w:rPr>
          <w:b/>
          <w:bCs/>
        </w:rPr>
        <w:t>fully formatted Chicago-style bibliography (notes-bibliography format)</w:t>
      </w:r>
      <w:r w:rsidRPr="008635A2">
        <w:t xml:space="preserve"> covering the key works supporting the earlier discussion. Entries are alphabetized and contain </w:t>
      </w:r>
      <w:r w:rsidRPr="008635A2">
        <w:rPr>
          <w:b/>
          <w:bCs/>
        </w:rPr>
        <w:t>no annotations</w:t>
      </w:r>
      <w:r w:rsidRPr="008635A2">
        <w:t>, as requested.</w:t>
      </w:r>
    </w:p>
    <w:p w14:paraId="1354F6D7" w14:textId="77777777" w:rsidR="008635A2" w:rsidRPr="008635A2" w:rsidRDefault="00000000" w:rsidP="008635A2">
      <w:r>
        <w:pict w14:anchorId="3820E538">
          <v:rect id="_x0000_i1098" style="width:0;height:1.5pt" o:hralign="center" o:hrstd="t" o:hr="t" fillcolor="#a0a0a0" stroked="f"/>
        </w:pict>
      </w:r>
    </w:p>
    <w:p w14:paraId="3D8E59D7" w14:textId="77777777" w:rsidR="008635A2" w:rsidRPr="008635A2" w:rsidRDefault="008635A2" w:rsidP="008635A2">
      <w:pPr>
        <w:rPr>
          <w:b/>
          <w:bCs/>
        </w:rPr>
      </w:pPr>
      <w:r w:rsidRPr="008635A2">
        <w:rPr>
          <w:b/>
          <w:bCs/>
        </w:rPr>
        <w:t>Bibliography</w:t>
      </w:r>
    </w:p>
    <w:p w14:paraId="19196EBD" w14:textId="77777777" w:rsidR="008635A2" w:rsidRPr="008635A2" w:rsidRDefault="008635A2" w:rsidP="008635A2">
      <w:r w:rsidRPr="008635A2">
        <w:t xml:space="preserve">Amdur, Kathryn E. </w:t>
      </w:r>
      <w:r w:rsidRPr="008635A2">
        <w:rPr>
          <w:i/>
          <w:iCs/>
        </w:rPr>
        <w:t>Syndicalist Legacy: Trade Unions and Politics in Two French Cities in the Era of World War I</w:t>
      </w:r>
      <w:r w:rsidRPr="008635A2">
        <w:t>. Urbana: University of Illinois Press, 1986.</w:t>
      </w:r>
    </w:p>
    <w:p w14:paraId="7FBA1622" w14:textId="77777777" w:rsidR="008635A2" w:rsidRPr="008635A2" w:rsidRDefault="008635A2" w:rsidP="008635A2">
      <w:r w:rsidRPr="008635A2">
        <w:t xml:space="preserve">American Library Association. </w:t>
      </w:r>
      <w:r w:rsidRPr="008635A2">
        <w:rPr>
          <w:i/>
          <w:iCs/>
        </w:rPr>
        <w:t>State of America’s Libraries Report</w:t>
      </w:r>
      <w:r w:rsidRPr="008635A2">
        <w:t>. Chicago: American Library Association, various years.</w:t>
      </w:r>
    </w:p>
    <w:p w14:paraId="20F00F83" w14:textId="77777777" w:rsidR="008635A2" w:rsidRPr="008635A2" w:rsidRDefault="008635A2" w:rsidP="008635A2">
      <w:r w:rsidRPr="008635A2">
        <w:t xml:space="preserve">Association of American Colleges &amp; Universities. </w:t>
      </w:r>
      <w:r w:rsidRPr="008635A2">
        <w:rPr>
          <w:i/>
          <w:iCs/>
        </w:rPr>
        <w:t>Essential Learning Outcomes</w:t>
      </w:r>
      <w:r w:rsidRPr="008635A2">
        <w:t>. Washington, DC: AAC&amp;U, 2007.</w:t>
      </w:r>
    </w:p>
    <w:p w14:paraId="348FE37E" w14:textId="77777777" w:rsidR="008635A2" w:rsidRPr="008635A2" w:rsidRDefault="008635A2" w:rsidP="008635A2">
      <w:r w:rsidRPr="008635A2">
        <w:t xml:space="preserve">Berry, David. </w:t>
      </w:r>
      <w:r w:rsidRPr="008635A2">
        <w:rPr>
          <w:i/>
          <w:iCs/>
        </w:rPr>
        <w:t>A History of the French Anarchist Movement, 1917–1945</w:t>
      </w:r>
      <w:r w:rsidRPr="008635A2">
        <w:t>. Oakland: AK Press, 2009.</w:t>
      </w:r>
    </w:p>
    <w:p w14:paraId="0F171685" w14:textId="77777777" w:rsidR="008635A2" w:rsidRPr="008635A2" w:rsidRDefault="008635A2" w:rsidP="008635A2">
      <w:r w:rsidRPr="008635A2">
        <w:t xml:space="preserve">Bobinski, George S. </w:t>
      </w:r>
      <w:r w:rsidRPr="008635A2">
        <w:rPr>
          <w:i/>
          <w:iCs/>
        </w:rPr>
        <w:t>Carnegie Libraries: Their History and Impact on American Public Library Development</w:t>
      </w:r>
      <w:r w:rsidRPr="008635A2">
        <w:t>. Chicago: American Library Association, 1969.</w:t>
      </w:r>
    </w:p>
    <w:p w14:paraId="03C79335" w14:textId="77777777" w:rsidR="008635A2" w:rsidRPr="008635A2" w:rsidRDefault="008635A2" w:rsidP="008635A2">
      <w:r w:rsidRPr="008635A2">
        <w:t xml:space="preserve">Freire, Paulo. </w:t>
      </w:r>
      <w:r w:rsidRPr="008635A2">
        <w:rPr>
          <w:i/>
          <w:iCs/>
        </w:rPr>
        <w:t>Pedagogy of the Oppressed</w:t>
      </w:r>
      <w:r w:rsidRPr="008635A2">
        <w:t>. New York: Continuum, 1970.</w:t>
      </w:r>
    </w:p>
    <w:p w14:paraId="1A671626" w14:textId="77777777" w:rsidR="008635A2" w:rsidRPr="008635A2" w:rsidRDefault="008635A2" w:rsidP="008635A2">
      <w:r w:rsidRPr="008635A2">
        <w:t xml:space="preserve">Garrison, Dee. </w:t>
      </w:r>
      <w:r w:rsidRPr="008635A2">
        <w:rPr>
          <w:i/>
          <w:iCs/>
        </w:rPr>
        <w:t>Apostles of Culture: The Public Librarian and American Society, 1876–1920</w:t>
      </w:r>
      <w:r w:rsidRPr="008635A2">
        <w:t>. New York: Free Press, 1979.</w:t>
      </w:r>
    </w:p>
    <w:p w14:paraId="7FC964A0" w14:textId="77777777" w:rsidR="008635A2" w:rsidRPr="008635A2" w:rsidRDefault="008635A2" w:rsidP="008635A2">
      <w:r w:rsidRPr="008635A2">
        <w:t xml:space="preserve">Klinenberg, Eric. </w:t>
      </w:r>
      <w:r w:rsidRPr="008635A2">
        <w:rPr>
          <w:i/>
          <w:iCs/>
        </w:rPr>
        <w:t>Palaces for the People: How Social Infrastructure Can Help Fight Inequality, Polarization, and the Decline of Civic Life</w:t>
      </w:r>
      <w:r w:rsidRPr="008635A2">
        <w:t>. New York: Crown, 2018.</w:t>
      </w:r>
    </w:p>
    <w:p w14:paraId="6C26507F" w14:textId="77777777" w:rsidR="008635A2" w:rsidRPr="008635A2" w:rsidRDefault="008635A2" w:rsidP="008635A2">
      <w:r w:rsidRPr="008635A2">
        <w:lastRenderedPageBreak/>
        <w:t xml:space="preserve">Nussbaum, Martha C. </w:t>
      </w:r>
      <w:r w:rsidRPr="008635A2">
        <w:rPr>
          <w:i/>
          <w:iCs/>
        </w:rPr>
        <w:t>Not for Profit: Why Democracy Needs the Humanities</w:t>
      </w:r>
      <w:r w:rsidRPr="008635A2">
        <w:t>. Princeton, NJ: Princeton University Press, 2010.</w:t>
      </w:r>
    </w:p>
    <w:p w14:paraId="14EB1A71" w14:textId="77777777" w:rsidR="008635A2" w:rsidRPr="008635A2" w:rsidRDefault="008635A2" w:rsidP="008635A2">
      <w:r w:rsidRPr="008635A2">
        <w:t xml:space="preserve">Oldenburg, Ray. </w:t>
      </w:r>
      <w:r w:rsidRPr="008635A2">
        <w:rPr>
          <w:i/>
          <w:iCs/>
        </w:rPr>
        <w:t>The Great Good Place</w:t>
      </w:r>
      <w:r w:rsidRPr="008635A2">
        <w:t>. New York: Marlowe &amp; Company, 1989.</w:t>
      </w:r>
    </w:p>
    <w:p w14:paraId="1A620FBC" w14:textId="77777777" w:rsidR="008635A2" w:rsidRPr="008635A2" w:rsidRDefault="008635A2" w:rsidP="008635A2">
      <w:r w:rsidRPr="008635A2">
        <w:t xml:space="preserve">Ostrom, Elinor. </w:t>
      </w:r>
      <w:r w:rsidRPr="008635A2">
        <w:rPr>
          <w:i/>
          <w:iCs/>
        </w:rPr>
        <w:t>Governing the Commons: The Evolution of Institutions for Collective Action</w:t>
      </w:r>
      <w:r w:rsidRPr="008635A2">
        <w:t>. Cambridge: Cambridge University Press, 1990.</w:t>
      </w:r>
    </w:p>
    <w:p w14:paraId="3F0258FE" w14:textId="77777777" w:rsidR="008635A2" w:rsidRPr="008635A2" w:rsidRDefault="008635A2" w:rsidP="008635A2">
      <w:proofErr w:type="spellStart"/>
      <w:r w:rsidRPr="008635A2">
        <w:t>Pelloutier</w:t>
      </w:r>
      <w:proofErr w:type="spellEnd"/>
      <w:r w:rsidRPr="008635A2">
        <w:t xml:space="preserve">, Fernand. </w:t>
      </w:r>
      <w:r w:rsidRPr="008635A2">
        <w:rPr>
          <w:i/>
          <w:iCs/>
        </w:rPr>
        <w:t>Histoire des Bourses du Travail</w:t>
      </w:r>
      <w:r w:rsidRPr="008635A2">
        <w:t>. Paris: Schleicher Frères, 1902.</w:t>
      </w:r>
    </w:p>
    <w:p w14:paraId="581CDCDE" w14:textId="77777777" w:rsidR="008635A2" w:rsidRPr="008635A2" w:rsidRDefault="008635A2" w:rsidP="008635A2">
      <w:r w:rsidRPr="008635A2">
        <w:t xml:space="preserve">Putnam, Robert D. </w:t>
      </w:r>
      <w:r w:rsidRPr="008635A2">
        <w:rPr>
          <w:i/>
          <w:iCs/>
        </w:rPr>
        <w:t>Bowling Alone: The Collapse and Revival of American Community</w:t>
      </w:r>
      <w:r w:rsidRPr="008635A2">
        <w:t>. New York: Simon &amp; Schuster, 2000.</w:t>
      </w:r>
    </w:p>
    <w:p w14:paraId="66520D42" w14:textId="77777777" w:rsidR="008635A2" w:rsidRPr="008635A2" w:rsidRDefault="008635A2" w:rsidP="008635A2">
      <w:r w:rsidRPr="008635A2">
        <w:t xml:space="preserve">Rhodes, Terrel L., ed. </w:t>
      </w:r>
      <w:r w:rsidRPr="008635A2">
        <w:rPr>
          <w:i/>
          <w:iCs/>
        </w:rPr>
        <w:t>Using the VALUE Rubrics for Improvement of Learning and Authentic Assessment</w:t>
      </w:r>
      <w:r w:rsidRPr="008635A2">
        <w:t>. Washington, DC: Association of American Colleges &amp; Universities, 2010.</w:t>
      </w:r>
    </w:p>
    <w:p w14:paraId="74D38A4B" w14:textId="77777777" w:rsidR="008635A2" w:rsidRPr="008635A2" w:rsidRDefault="008635A2" w:rsidP="008635A2">
      <w:r w:rsidRPr="008635A2">
        <w:t xml:space="preserve">Rubin, Richard E., and Rachel G. Rubin. </w:t>
      </w:r>
      <w:r w:rsidRPr="008635A2">
        <w:rPr>
          <w:i/>
          <w:iCs/>
        </w:rPr>
        <w:t>Foundations of Library and Information Science</w:t>
      </w:r>
      <w:r w:rsidRPr="008635A2">
        <w:t>. 4th ed. Chicago: ALA Neal-Schuman, 2017.</w:t>
      </w:r>
    </w:p>
    <w:p w14:paraId="726D5FF8" w14:textId="77777777" w:rsidR="008635A2" w:rsidRPr="008635A2" w:rsidRDefault="008635A2" w:rsidP="008635A2">
      <w:r w:rsidRPr="008635A2">
        <w:t xml:space="preserve">Scholz, Trebor. </w:t>
      </w:r>
      <w:proofErr w:type="spellStart"/>
      <w:r w:rsidRPr="008635A2">
        <w:rPr>
          <w:i/>
          <w:iCs/>
        </w:rPr>
        <w:t>Uberworked</w:t>
      </w:r>
      <w:proofErr w:type="spellEnd"/>
      <w:r w:rsidRPr="008635A2">
        <w:rPr>
          <w:i/>
          <w:iCs/>
        </w:rPr>
        <w:t xml:space="preserve"> and Underpaid: How Workers Are Disrupting the Digital Economy</w:t>
      </w:r>
      <w:r w:rsidRPr="008635A2">
        <w:t>. Cambridge: Polity, 2016.</w:t>
      </w:r>
    </w:p>
    <w:p w14:paraId="6907AFB1" w14:textId="77777777" w:rsidR="008635A2" w:rsidRPr="008635A2" w:rsidRDefault="008635A2" w:rsidP="008635A2">
      <w:r w:rsidRPr="008635A2">
        <w:t xml:space="preserve">Sewell, William H., Jr. </w:t>
      </w:r>
      <w:r w:rsidRPr="008635A2">
        <w:rPr>
          <w:i/>
          <w:iCs/>
        </w:rPr>
        <w:t>Work and Revolution in France: The Language of Labor from the Old Regime to 1848</w:t>
      </w:r>
      <w:r w:rsidRPr="008635A2">
        <w:t>. Cambridge: Cambridge University Press, 1980.</w:t>
      </w:r>
    </w:p>
    <w:p w14:paraId="66EC0A37" w14:textId="77777777" w:rsidR="008635A2" w:rsidRPr="008635A2" w:rsidRDefault="008635A2" w:rsidP="008635A2">
      <w:r w:rsidRPr="008635A2">
        <w:t xml:space="preserve">Tucker, Kenneth H. </w:t>
      </w:r>
      <w:r w:rsidRPr="008635A2">
        <w:rPr>
          <w:i/>
          <w:iCs/>
        </w:rPr>
        <w:t>French Revolutionary Syndicalism and the Public Sphere</w:t>
      </w:r>
      <w:r w:rsidRPr="008635A2">
        <w:t>. Cambridge: Cambridge University Press, 1996.</w:t>
      </w:r>
    </w:p>
    <w:p w14:paraId="0850D5EC" w14:textId="77777777" w:rsidR="008635A2" w:rsidRPr="008635A2" w:rsidRDefault="008635A2" w:rsidP="008635A2">
      <w:r w:rsidRPr="008635A2">
        <w:t xml:space="preserve">Van Slyck, Abigail A. </w:t>
      </w:r>
      <w:r w:rsidRPr="008635A2">
        <w:rPr>
          <w:i/>
          <w:iCs/>
        </w:rPr>
        <w:t>Free to All: Carnegie Libraries and American Culture, 1890–1920</w:t>
      </w:r>
      <w:r w:rsidRPr="008635A2">
        <w:t>. Chicago: University of Chicago Press, 1995.</w:t>
      </w:r>
    </w:p>
    <w:p w14:paraId="202B6E77" w14:textId="77777777" w:rsidR="008635A2" w:rsidRPr="008635A2" w:rsidRDefault="008635A2" w:rsidP="008635A2">
      <w:r w:rsidRPr="008635A2">
        <w:t xml:space="preserve">Wiegand, Wayne A. </w:t>
      </w:r>
      <w:r w:rsidRPr="008635A2">
        <w:rPr>
          <w:i/>
          <w:iCs/>
        </w:rPr>
        <w:t>Part of Our Lives: A People’s History of the American Public Library</w:t>
      </w:r>
      <w:r w:rsidRPr="008635A2">
        <w:t>. New York: Oxford University Press, 2015.</w:t>
      </w:r>
    </w:p>
    <w:p w14:paraId="3D3999C1" w14:textId="77777777" w:rsidR="008635A2" w:rsidRPr="008635A2" w:rsidRDefault="00000000" w:rsidP="008635A2">
      <w:r>
        <w:pict w14:anchorId="61066D15">
          <v:rect id="_x0000_i1099" style="width:0;height:1.5pt" o:hralign="center" o:hrstd="t" o:hr="t" fillcolor="#a0a0a0" stroked="f"/>
        </w:pict>
      </w:r>
    </w:p>
    <w:p w14:paraId="40AAFCCE" w14:textId="77777777" w:rsidR="008635A2" w:rsidRPr="008635A2" w:rsidRDefault="008635A2" w:rsidP="008635A2"/>
    <w:sectPr w:rsidR="008635A2" w:rsidRPr="008635A2" w:rsidSect="00EE2A46">
      <w:headerReference w:type="default" r:id="rId1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89159" w14:textId="77777777" w:rsidR="00B270BD" w:rsidRDefault="00B270BD" w:rsidP="00CD3762">
      <w:pPr>
        <w:spacing w:after="0" w:line="240" w:lineRule="auto"/>
      </w:pPr>
      <w:r>
        <w:separator/>
      </w:r>
    </w:p>
  </w:endnote>
  <w:endnote w:type="continuationSeparator" w:id="0">
    <w:p w14:paraId="2DDA3733" w14:textId="77777777" w:rsidR="00B270BD" w:rsidRDefault="00B270BD" w:rsidP="00CD37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A8B90" w14:textId="77777777" w:rsidR="00B270BD" w:rsidRDefault="00B270BD" w:rsidP="00CD3762">
      <w:pPr>
        <w:spacing w:after="0" w:line="240" w:lineRule="auto"/>
      </w:pPr>
      <w:r>
        <w:separator/>
      </w:r>
    </w:p>
  </w:footnote>
  <w:footnote w:type="continuationSeparator" w:id="0">
    <w:p w14:paraId="237B70FF" w14:textId="77777777" w:rsidR="00B270BD" w:rsidRDefault="00B270BD" w:rsidP="00CD37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240B3" w14:textId="6CDD4BB4" w:rsidR="00CD3762" w:rsidRPr="00CD3762" w:rsidRDefault="00CD3762" w:rsidP="00CD3762">
    <w:pPr>
      <w:pStyle w:val="Header"/>
      <w:jc w:val="right"/>
      <w:rPr>
        <w:sz w:val="20"/>
        <w:szCs w:val="20"/>
      </w:rPr>
    </w:pPr>
    <w:r w:rsidRPr="00CD3762">
      <w:rPr>
        <w:sz w:val="20"/>
        <w:szCs w:val="20"/>
      </w:rPr>
      <w:t xml:space="preserve">What If Libraries Became Our Next Civic Superpower? </w:t>
    </w:r>
    <w:r w:rsidR="00B62878">
      <w:rPr>
        <w:sz w:val="20"/>
        <w:szCs w:val="20"/>
      </w:rPr>
      <w:t xml:space="preserve">(1.0) </w:t>
    </w:r>
    <w:r w:rsidRPr="00CD3762">
      <w:rPr>
        <w:sz w:val="20"/>
        <w:szCs w:val="20"/>
      </w:rPr>
      <w:t xml:space="preserve">Page </w:t>
    </w:r>
    <w:r w:rsidRPr="00CD3762">
      <w:rPr>
        <w:sz w:val="20"/>
        <w:szCs w:val="20"/>
      </w:rPr>
      <w:fldChar w:fldCharType="begin"/>
    </w:r>
    <w:r w:rsidRPr="00CD3762">
      <w:rPr>
        <w:sz w:val="20"/>
        <w:szCs w:val="20"/>
      </w:rPr>
      <w:instrText xml:space="preserve"> PAGE  \* Arabic  \* MERGEFORMAT </w:instrText>
    </w:r>
    <w:r w:rsidRPr="00CD3762">
      <w:rPr>
        <w:sz w:val="20"/>
        <w:szCs w:val="20"/>
      </w:rPr>
      <w:fldChar w:fldCharType="separate"/>
    </w:r>
    <w:r w:rsidRPr="00CD3762">
      <w:rPr>
        <w:noProof/>
        <w:sz w:val="20"/>
        <w:szCs w:val="20"/>
      </w:rPr>
      <w:t>1</w:t>
    </w:r>
    <w:r w:rsidRPr="00CD3762">
      <w:rPr>
        <w:sz w:val="20"/>
        <w:szCs w:val="20"/>
      </w:rPr>
      <w:fldChar w:fldCharType="end"/>
    </w:r>
    <w:r w:rsidRPr="00CD3762">
      <w:rPr>
        <w:sz w:val="20"/>
        <w:szCs w:val="20"/>
      </w:rPr>
      <w:t xml:space="preserve"> of </w:t>
    </w:r>
    <w:r w:rsidRPr="00CD3762">
      <w:rPr>
        <w:sz w:val="20"/>
        <w:szCs w:val="20"/>
      </w:rPr>
      <w:fldChar w:fldCharType="begin"/>
    </w:r>
    <w:r w:rsidRPr="00CD3762">
      <w:rPr>
        <w:sz w:val="20"/>
        <w:szCs w:val="20"/>
      </w:rPr>
      <w:instrText xml:space="preserve"> NUMPAGES  \* Arabic  \* MERGEFORMAT </w:instrText>
    </w:r>
    <w:r w:rsidRPr="00CD3762">
      <w:rPr>
        <w:sz w:val="20"/>
        <w:szCs w:val="20"/>
      </w:rPr>
      <w:fldChar w:fldCharType="separate"/>
    </w:r>
    <w:r w:rsidRPr="00CD3762">
      <w:rPr>
        <w:noProof/>
        <w:sz w:val="20"/>
        <w:szCs w:val="20"/>
      </w:rPr>
      <w:t>2</w:t>
    </w:r>
    <w:r w:rsidRPr="00CD3762">
      <w:rPr>
        <w:sz w:val="20"/>
        <w:szCs w:val="20"/>
      </w:rPr>
      <w:fldChar w:fldCharType="end"/>
    </w:r>
  </w:p>
  <w:p w14:paraId="0AE5EF76" w14:textId="16F421E7" w:rsidR="00CD3762" w:rsidRPr="00CD3762" w:rsidRDefault="00CD3762" w:rsidP="00CD3762">
    <w:pPr>
      <w:pStyle w:val="Header"/>
      <w:jc w:val="right"/>
      <w:rPr>
        <w:sz w:val="20"/>
        <w:szCs w:val="20"/>
      </w:rPr>
    </w:pPr>
    <w:r w:rsidRPr="00CD3762">
      <w:rPr>
        <w:sz w:val="20"/>
        <w:szCs w:val="20"/>
      </w:rPr>
      <w:t>Created and curated by ChatGPT 5.2, and Richard Brown</w:t>
    </w:r>
    <w:r w:rsidR="009C1249">
      <w:rPr>
        <w:sz w:val="20"/>
        <w:szCs w:val="20"/>
      </w:rPr>
      <w:t xml:space="preserve"> (</w:t>
    </w:r>
    <w:hyperlink r:id="rId1" w:history="1">
      <w:r w:rsidR="009C1249" w:rsidRPr="00512810">
        <w:rPr>
          <w:rStyle w:val="Hyperlink"/>
          <w:sz w:val="20"/>
          <w:szCs w:val="20"/>
        </w:rPr>
        <w:t>https://esdi.us</w:t>
      </w:r>
    </w:hyperlink>
    <w:r w:rsidR="009C1249">
      <w:rPr>
        <w:sz w:val="20"/>
        <w:szCs w:val="20"/>
      </w:rPr>
      <w:t xml:space="preserve"> and </w:t>
    </w:r>
    <w:hyperlink r:id="rId2" w:history="1">
      <w:r w:rsidR="009C1249" w:rsidRPr="00512810">
        <w:rPr>
          <w:rStyle w:val="Hyperlink"/>
          <w:sz w:val="20"/>
          <w:szCs w:val="20"/>
        </w:rPr>
        <w:t>rwb@esdi.us</w:t>
      </w:r>
    </w:hyperlink>
    <w:r w:rsidR="009C1249">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41F23"/>
    <w:multiLevelType w:val="multilevel"/>
    <w:tmpl w:val="5060E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C6AC3"/>
    <w:multiLevelType w:val="multilevel"/>
    <w:tmpl w:val="29A29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CB4F5B"/>
    <w:multiLevelType w:val="multilevel"/>
    <w:tmpl w:val="11E4D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D055EA"/>
    <w:multiLevelType w:val="multilevel"/>
    <w:tmpl w:val="7A385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984111"/>
    <w:multiLevelType w:val="multilevel"/>
    <w:tmpl w:val="D0723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DE1F8C"/>
    <w:multiLevelType w:val="multilevel"/>
    <w:tmpl w:val="D1F66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533AA4"/>
    <w:multiLevelType w:val="multilevel"/>
    <w:tmpl w:val="B8147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904483"/>
    <w:multiLevelType w:val="multilevel"/>
    <w:tmpl w:val="0ACCA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715331"/>
    <w:multiLevelType w:val="multilevel"/>
    <w:tmpl w:val="8A902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A47D94"/>
    <w:multiLevelType w:val="multilevel"/>
    <w:tmpl w:val="EB468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AF454DA"/>
    <w:multiLevelType w:val="multilevel"/>
    <w:tmpl w:val="CB8E7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4205FA"/>
    <w:multiLevelType w:val="multilevel"/>
    <w:tmpl w:val="CAF01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F61B43"/>
    <w:multiLevelType w:val="multilevel"/>
    <w:tmpl w:val="08B09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211278"/>
    <w:multiLevelType w:val="multilevel"/>
    <w:tmpl w:val="65A60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865D18"/>
    <w:multiLevelType w:val="multilevel"/>
    <w:tmpl w:val="5A74A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13B4288"/>
    <w:multiLevelType w:val="multilevel"/>
    <w:tmpl w:val="39225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1A929AD"/>
    <w:multiLevelType w:val="multilevel"/>
    <w:tmpl w:val="F3385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33E57C9"/>
    <w:multiLevelType w:val="multilevel"/>
    <w:tmpl w:val="103E6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39570B5"/>
    <w:multiLevelType w:val="multilevel"/>
    <w:tmpl w:val="5EB24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40123BD"/>
    <w:multiLevelType w:val="multilevel"/>
    <w:tmpl w:val="A1E09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4885695"/>
    <w:multiLevelType w:val="multilevel"/>
    <w:tmpl w:val="CC4E5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4AB214E"/>
    <w:multiLevelType w:val="multilevel"/>
    <w:tmpl w:val="CD8C3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64C0941"/>
    <w:multiLevelType w:val="multilevel"/>
    <w:tmpl w:val="49ACD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77219DE"/>
    <w:multiLevelType w:val="multilevel"/>
    <w:tmpl w:val="FC98E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7D87AC1"/>
    <w:multiLevelType w:val="multilevel"/>
    <w:tmpl w:val="22D2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82B559A"/>
    <w:multiLevelType w:val="multilevel"/>
    <w:tmpl w:val="65D88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8C562E2"/>
    <w:multiLevelType w:val="multilevel"/>
    <w:tmpl w:val="A1688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9475F56"/>
    <w:multiLevelType w:val="multilevel"/>
    <w:tmpl w:val="6CE63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9685035"/>
    <w:multiLevelType w:val="multilevel"/>
    <w:tmpl w:val="92F8D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9E343D2"/>
    <w:multiLevelType w:val="multilevel"/>
    <w:tmpl w:val="441E9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B1E01CE"/>
    <w:multiLevelType w:val="multilevel"/>
    <w:tmpl w:val="B5CCD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B7C18D7"/>
    <w:multiLevelType w:val="multilevel"/>
    <w:tmpl w:val="46602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C0D61EF"/>
    <w:multiLevelType w:val="multilevel"/>
    <w:tmpl w:val="B8BEC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C726C25"/>
    <w:multiLevelType w:val="multilevel"/>
    <w:tmpl w:val="0DACC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E0D01B4"/>
    <w:multiLevelType w:val="multilevel"/>
    <w:tmpl w:val="1556D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E4F04BC"/>
    <w:multiLevelType w:val="multilevel"/>
    <w:tmpl w:val="C0D88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F97094B"/>
    <w:multiLevelType w:val="multilevel"/>
    <w:tmpl w:val="58A40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0767BFB"/>
    <w:multiLevelType w:val="multilevel"/>
    <w:tmpl w:val="5DC01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0AD4B94"/>
    <w:multiLevelType w:val="multilevel"/>
    <w:tmpl w:val="3DF65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0F920A3"/>
    <w:multiLevelType w:val="multilevel"/>
    <w:tmpl w:val="7512A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27F268C"/>
    <w:multiLevelType w:val="multilevel"/>
    <w:tmpl w:val="1752E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2CD4DAB"/>
    <w:multiLevelType w:val="multilevel"/>
    <w:tmpl w:val="D5000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3176874"/>
    <w:multiLevelType w:val="multilevel"/>
    <w:tmpl w:val="0E66A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3CA3959"/>
    <w:multiLevelType w:val="multilevel"/>
    <w:tmpl w:val="7206D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5392A9D"/>
    <w:multiLevelType w:val="multilevel"/>
    <w:tmpl w:val="2C8E8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56A180E"/>
    <w:multiLevelType w:val="multilevel"/>
    <w:tmpl w:val="27C03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56D7FB2"/>
    <w:multiLevelType w:val="multilevel"/>
    <w:tmpl w:val="654CA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6524630"/>
    <w:multiLevelType w:val="multilevel"/>
    <w:tmpl w:val="E084C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74833F3"/>
    <w:multiLevelType w:val="multilevel"/>
    <w:tmpl w:val="5A26B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83A7B57"/>
    <w:multiLevelType w:val="multilevel"/>
    <w:tmpl w:val="08F4E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8C4221E"/>
    <w:multiLevelType w:val="multilevel"/>
    <w:tmpl w:val="275EC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8D40849"/>
    <w:multiLevelType w:val="multilevel"/>
    <w:tmpl w:val="13F61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A971DA8"/>
    <w:multiLevelType w:val="multilevel"/>
    <w:tmpl w:val="F098B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B004A2F"/>
    <w:multiLevelType w:val="multilevel"/>
    <w:tmpl w:val="7D581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BC262F7"/>
    <w:multiLevelType w:val="multilevel"/>
    <w:tmpl w:val="E9D08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C504302"/>
    <w:multiLevelType w:val="multilevel"/>
    <w:tmpl w:val="BFB28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D012EC7"/>
    <w:multiLevelType w:val="multilevel"/>
    <w:tmpl w:val="AB789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D0E2A05"/>
    <w:multiLevelType w:val="multilevel"/>
    <w:tmpl w:val="74EAC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D1C3779"/>
    <w:multiLevelType w:val="multilevel"/>
    <w:tmpl w:val="B42CA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D531189"/>
    <w:multiLevelType w:val="multilevel"/>
    <w:tmpl w:val="BD669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D5A0F32"/>
    <w:multiLevelType w:val="multilevel"/>
    <w:tmpl w:val="4F04B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E8842FC"/>
    <w:multiLevelType w:val="multilevel"/>
    <w:tmpl w:val="F2DC9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FF9189B"/>
    <w:multiLevelType w:val="multilevel"/>
    <w:tmpl w:val="416C4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13A2CF2"/>
    <w:multiLevelType w:val="multilevel"/>
    <w:tmpl w:val="E6D4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2EC4C44"/>
    <w:multiLevelType w:val="multilevel"/>
    <w:tmpl w:val="00006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4734BE8"/>
    <w:multiLevelType w:val="multilevel"/>
    <w:tmpl w:val="92F06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4A56654"/>
    <w:multiLevelType w:val="multilevel"/>
    <w:tmpl w:val="EC32E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64C2EC5"/>
    <w:multiLevelType w:val="multilevel"/>
    <w:tmpl w:val="02B66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6593103"/>
    <w:multiLevelType w:val="multilevel"/>
    <w:tmpl w:val="05DAB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6C56340"/>
    <w:multiLevelType w:val="multilevel"/>
    <w:tmpl w:val="94BEC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6E352EF"/>
    <w:multiLevelType w:val="multilevel"/>
    <w:tmpl w:val="B7163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6F05B93"/>
    <w:multiLevelType w:val="multilevel"/>
    <w:tmpl w:val="A5D44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8001202"/>
    <w:multiLevelType w:val="multilevel"/>
    <w:tmpl w:val="1AA8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80C7206"/>
    <w:multiLevelType w:val="multilevel"/>
    <w:tmpl w:val="2BBAC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94A7AAC"/>
    <w:multiLevelType w:val="multilevel"/>
    <w:tmpl w:val="CDCEE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956580A"/>
    <w:multiLevelType w:val="multilevel"/>
    <w:tmpl w:val="70421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A796483"/>
    <w:multiLevelType w:val="multilevel"/>
    <w:tmpl w:val="787233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B9C0E68"/>
    <w:multiLevelType w:val="multilevel"/>
    <w:tmpl w:val="A7ACF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BD10401"/>
    <w:multiLevelType w:val="multilevel"/>
    <w:tmpl w:val="A072B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C217764"/>
    <w:multiLevelType w:val="multilevel"/>
    <w:tmpl w:val="1310A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C9145D5"/>
    <w:multiLevelType w:val="multilevel"/>
    <w:tmpl w:val="7F544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D076CE7"/>
    <w:multiLevelType w:val="multilevel"/>
    <w:tmpl w:val="4F642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D6F0694"/>
    <w:multiLevelType w:val="multilevel"/>
    <w:tmpl w:val="3B34A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EA460A8"/>
    <w:multiLevelType w:val="multilevel"/>
    <w:tmpl w:val="AF722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F056E29"/>
    <w:multiLevelType w:val="multilevel"/>
    <w:tmpl w:val="ECAE9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00260AB"/>
    <w:multiLevelType w:val="multilevel"/>
    <w:tmpl w:val="BCEC4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096780C"/>
    <w:multiLevelType w:val="multilevel"/>
    <w:tmpl w:val="55FC3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35428B2"/>
    <w:multiLevelType w:val="multilevel"/>
    <w:tmpl w:val="B86E0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4A53CA3"/>
    <w:multiLevelType w:val="multilevel"/>
    <w:tmpl w:val="E7C03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5662FEA"/>
    <w:multiLevelType w:val="multilevel"/>
    <w:tmpl w:val="C2A25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61F587B"/>
    <w:multiLevelType w:val="multilevel"/>
    <w:tmpl w:val="62A25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77923BE"/>
    <w:multiLevelType w:val="multilevel"/>
    <w:tmpl w:val="C3C62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8B935E9"/>
    <w:multiLevelType w:val="multilevel"/>
    <w:tmpl w:val="BAC0D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961591A"/>
    <w:multiLevelType w:val="multilevel"/>
    <w:tmpl w:val="13A61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A571F53"/>
    <w:multiLevelType w:val="multilevel"/>
    <w:tmpl w:val="D6422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A737504"/>
    <w:multiLevelType w:val="multilevel"/>
    <w:tmpl w:val="C58E7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B28762F"/>
    <w:multiLevelType w:val="multilevel"/>
    <w:tmpl w:val="66CAE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B97122B"/>
    <w:multiLevelType w:val="multilevel"/>
    <w:tmpl w:val="3B967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BC04A16"/>
    <w:multiLevelType w:val="multilevel"/>
    <w:tmpl w:val="FB660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BC87EBE"/>
    <w:multiLevelType w:val="multilevel"/>
    <w:tmpl w:val="2FE23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BEB2CD7"/>
    <w:multiLevelType w:val="multilevel"/>
    <w:tmpl w:val="C3263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BED79F3"/>
    <w:multiLevelType w:val="multilevel"/>
    <w:tmpl w:val="51A49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E80466A"/>
    <w:multiLevelType w:val="multilevel"/>
    <w:tmpl w:val="33E67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EA71B1F"/>
    <w:multiLevelType w:val="multilevel"/>
    <w:tmpl w:val="45AA0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ED3288C"/>
    <w:multiLevelType w:val="multilevel"/>
    <w:tmpl w:val="7A7A2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4F0B2266"/>
    <w:multiLevelType w:val="multilevel"/>
    <w:tmpl w:val="B51C6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08E140F"/>
    <w:multiLevelType w:val="multilevel"/>
    <w:tmpl w:val="8C3C5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10868D7"/>
    <w:multiLevelType w:val="multilevel"/>
    <w:tmpl w:val="8DBAB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16710BA"/>
    <w:multiLevelType w:val="multilevel"/>
    <w:tmpl w:val="ABB6D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4807506"/>
    <w:multiLevelType w:val="multilevel"/>
    <w:tmpl w:val="91388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4A158FC"/>
    <w:multiLevelType w:val="multilevel"/>
    <w:tmpl w:val="0CDCA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5610753C"/>
    <w:multiLevelType w:val="multilevel"/>
    <w:tmpl w:val="C5329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63A3AA0"/>
    <w:multiLevelType w:val="multilevel"/>
    <w:tmpl w:val="BC1E4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6721AB6"/>
    <w:multiLevelType w:val="multilevel"/>
    <w:tmpl w:val="EAFC8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86611A3"/>
    <w:multiLevelType w:val="multilevel"/>
    <w:tmpl w:val="A66E3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9137D31"/>
    <w:multiLevelType w:val="multilevel"/>
    <w:tmpl w:val="235CF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94920C4"/>
    <w:multiLevelType w:val="multilevel"/>
    <w:tmpl w:val="74289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95849D8"/>
    <w:multiLevelType w:val="multilevel"/>
    <w:tmpl w:val="4B78B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5A1478C7"/>
    <w:multiLevelType w:val="multilevel"/>
    <w:tmpl w:val="95B27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A2C18CF"/>
    <w:multiLevelType w:val="multilevel"/>
    <w:tmpl w:val="031C9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5BED68F6"/>
    <w:multiLevelType w:val="multilevel"/>
    <w:tmpl w:val="D74E5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C846BE7"/>
    <w:multiLevelType w:val="multilevel"/>
    <w:tmpl w:val="932C9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5CA27613"/>
    <w:multiLevelType w:val="multilevel"/>
    <w:tmpl w:val="22489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D2637FA"/>
    <w:multiLevelType w:val="multilevel"/>
    <w:tmpl w:val="60262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EF0724C"/>
    <w:multiLevelType w:val="multilevel"/>
    <w:tmpl w:val="48F65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5FB85573"/>
    <w:multiLevelType w:val="multilevel"/>
    <w:tmpl w:val="C2AE4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5FC013B1"/>
    <w:multiLevelType w:val="multilevel"/>
    <w:tmpl w:val="5C5A6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60E8711D"/>
    <w:multiLevelType w:val="multilevel"/>
    <w:tmpl w:val="713EE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0F3084A"/>
    <w:multiLevelType w:val="multilevel"/>
    <w:tmpl w:val="51CEE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61B77303"/>
    <w:multiLevelType w:val="multilevel"/>
    <w:tmpl w:val="18E2D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61F54EE1"/>
    <w:multiLevelType w:val="multilevel"/>
    <w:tmpl w:val="C5E22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62192149"/>
    <w:multiLevelType w:val="multilevel"/>
    <w:tmpl w:val="544EC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62EA66E5"/>
    <w:multiLevelType w:val="multilevel"/>
    <w:tmpl w:val="77A0D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650B32F7"/>
    <w:multiLevelType w:val="multilevel"/>
    <w:tmpl w:val="BEA8D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65856883"/>
    <w:multiLevelType w:val="multilevel"/>
    <w:tmpl w:val="5A3AD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5C74148"/>
    <w:multiLevelType w:val="multilevel"/>
    <w:tmpl w:val="40EE7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68C92D56"/>
    <w:multiLevelType w:val="multilevel"/>
    <w:tmpl w:val="E3F6E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9250E9D"/>
    <w:multiLevelType w:val="multilevel"/>
    <w:tmpl w:val="9B0EE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93D19AE"/>
    <w:multiLevelType w:val="multilevel"/>
    <w:tmpl w:val="C840B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69B22021"/>
    <w:multiLevelType w:val="multilevel"/>
    <w:tmpl w:val="8AEA9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69DA270A"/>
    <w:multiLevelType w:val="multilevel"/>
    <w:tmpl w:val="C3982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6A0F1353"/>
    <w:multiLevelType w:val="multilevel"/>
    <w:tmpl w:val="39887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6B706BE3"/>
    <w:multiLevelType w:val="multilevel"/>
    <w:tmpl w:val="61546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6EA46959"/>
    <w:multiLevelType w:val="multilevel"/>
    <w:tmpl w:val="8E340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6ECA08B7"/>
    <w:multiLevelType w:val="multilevel"/>
    <w:tmpl w:val="107CD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6F710151"/>
    <w:multiLevelType w:val="multilevel"/>
    <w:tmpl w:val="53B00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FDC0EAE"/>
    <w:multiLevelType w:val="multilevel"/>
    <w:tmpl w:val="D5BAF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7022191D"/>
    <w:multiLevelType w:val="multilevel"/>
    <w:tmpl w:val="4F3C2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70327EFE"/>
    <w:multiLevelType w:val="multilevel"/>
    <w:tmpl w:val="3918C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70414F6D"/>
    <w:multiLevelType w:val="multilevel"/>
    <w:tmpl w:val="81925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73DE6AE6"/>
    <w:multiLevelType w:val="multilevel"/>
    <w:tmpl w:val="8034E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7423457F"/>
    <w:multiLevelType w:val="multilevel"/>
    <w:tmpl w:val="A628D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747F7861"/>
    <w:multiLevelType w:val="multilevel"/>
    <w:tmpl w:val="EA763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765272C3"/>
    <w:multiLevelType w:val="multilevel"/>
    <w:tmpl w:val="FEAA5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766D0276"/>
    <w:multiLevelType w:val="multilevel"/>
    <w:tmpl w:val="27A07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772B01C5"/>
    <w:multiLevelType w:val="multilevel"/>
    <w:tmpl w:val="3D6CE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772D454D"/>
    <w:multiLevelType w:val="multilevel"/>
    <w:tmpl w:val="AADEB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77333CFF"/>
    <w:multiLevelType w:val="multilevel"/>
    <w:tmpl w:val="8C5E8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77B80DE5"/>
    <w:multiLevelType w:val="multilevel"/>
    <w:tmpl w:val="6186B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7815080B"/>
    <w:multiLevelType w:val="multilevel"/>
    <w:tmpl w:val="57A4C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789D7E56"/>
    <w:multiLevelType w:val="multilevel"/>
    <w:tmpl w:val="F894D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7904715F"/>
    <w:multiLevelType w:val="multilevel"/>
    <w:tmpl w:val="3EA6C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79615A1F"/>
    <w:multiLevelType w:val="multilevel"/>
    <w:tmpl w:val="62920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7A085A4A"/>
    <w:multiLevelType w:val="multilevel"/>
    <w:tmpl w:val="473A0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7A4162FD"/>
    <w:multiLevelType w:val="multilevel"/>
    <w:tmpl w:val="8FB6A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7C0F30CE"/>
    <w:multiLevelType w:val="multilevel"/>
    <w:tmpl w:val="F692C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7D160B8D"/>
    <w:multiLevelType w:val="multilevel"/>
    <w:tmpl w:val="C3008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7E247517"/>
    <w:multiLevelType w:val="multilevel"/>
    <w:tmpl w:val="6F128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7EBF3605"/>
    <w:multiLevelType w:val="multilevel"/>
    <w:tmpl w:val="1D8A8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7F1C3A93"/>
    <w:multiLevelType w:val="multilevel"/>
    <w:tmpl w:val="94922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7F471062"/>
    <w:multiLevelType w:val="multilevel"/>
    <w:tmpl w:val="6F825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7FBE60FE"/>
    <w:multiLevelType w:val="multilevel"/>
    <w:tmpl w:val="6102D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7FD153CD"/>
    <w:multiLevelType w:val="multilevel"/>
    <w:tmpl w:val="5C406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1528914">
    <w:abstractNumId w:val="136"/>
  </w:num>
  <w:num w:numId="2" w16cid:durableId="374962975">
    <w:abstractNumId w:val="145"/>
  </w:num>
  <w:num w:numId="3" w16cid:durableId="2075856851">
    <w:abstractNumId w:val="47"/>
  </w:num>
  <w:num w:numId="4" w16cid:durableId="548613817">
    <w:abstractNumId w:val="99"/>
  </w:num>
  <w:num w:numId="5" w16cid:durableId="774594214">
    <w:abstractNumId w:val="37"/>
  </w:num>
  <w:num w:numId="6" w16cid:durableId="473572765">
    <w:abstractNumId w:val="124"/>
  </w:num>
  <w:num w:numId="7" w16cid:durableId="1037317380">
    <w:abstractNumId w:val="57"/>
  </w:num>
  <w:num w:numId="8" w16cid:durableId="1323968004">
    <w:abstractNumId w:val="46"/>
  </w:num>
  <w:num w:numId="9" w16cid:durableId="339739755">
    <w:abstractNumId w:val="33"/>
  </w:num>
  <w:num w:numId="10" w16cid:durableId="1678535965">
    <w:abstractNumId w:val="36"/>
  </w:num>
  <w:num w:numId="11" w16cid:durableId="855123105">
    <w:abstractNumId w:val="50"/>
  </w:num>
  <w:num w:numId="12" w16cid:durableId="394208171">
    <w:abstractNumId w:val="133"/>
  </w:num>
  <w:num w:numId="13" w16cid:durableId="126556538">
    <w:abstractNumId w:val="19"/>
  </w:num>
  <w:num w:numId="14" w16cid:durableId="1686857976">
    <w:abstractNumId w:val="11"/>
  </w:num>
  <w:num w:numId="15" w16cid:durableId="1910532288">
    <w:abstractNumId w:val="152"/>
  </w:num>
  <w:num w:numId="16" w16cid:durableId="1819151986">
    <w:abstractNumId w:val="101"/>
  </w:num>
  <w:num w:numId="17" w16cid:durableId="1434860370">
    <w:abstractNumId w:val="105"/>
  </w:num>
  <w:num w:numId="18" w16cid:durableId="1099833107">
    <w:abstractNumId w:val="1"/>
  </w:num>
  <w:num w:numId="19" w16cid:durableId="2112891732">
    <w:abstractNumId w:val="92"/>
  </w:num>
  <w:num w:numId="20" w16cid:durableId="262491662">
    <w:abstractNumId w:val="125"/>
  </w:num>
  <w:num w:numId="21" w16cid:durableId="1620380199">
    <w:abstractNumId w:val="48"/>
  </w:num>
  <w:num w:numId="22" w16cid:durableId="2137329928">
    <w:abstractNumId w:val="73"/>
  </w:num>
  <w:num w:numId="23" w16cid:durableId="835345760">
    <w:abstractNumId w:val="26"/>
  </w:num>
  <w:num w:numId="24" w16cid:durableId="322858326">
    <w:abstractNumId w:val="6"/>
  </w:num>
  <w:num w:numId="25" w16cid:durableId="728697480">
    <w:abstractNumId w:val="85"/>
  </w:num>
  <w:num w:numId="26" w16cid:durableId="880898908">
    <w:abstractNumId w:val="64"/>
  </w:num>
  <w:num w:numId="27" w16cid:durableId="1945264467">
    <w:abstractNumId w:val="132"/>
  </w:num>
  <w:num w:numId="28" w16cid:durableId="2027830032">
    <w:abstractNumId w:val="156"/>
  </w:num>
  <w:num w:numId="29" w16cid:durableId="1063604031">
    <w:abstractNumId w:val="12"/>
  </w:num>
  <w:num w:numId="30" w16cid:durableId="1450590076">
    <w:abstractNumId w:val="151"/>
  </w:num>
  <w:num w:numId="31" w16cid:durableId="702176665">
    <w:abstractNumId w:val="91"/>
  </w:num>
  <w:num w:numId="32" w16cid:durableId="1715038580">
    <w:abstractNumId w:val="160"/>
  </w:num>
  <w:num w:numId="33" w16cid:durableId="384835132">
    <w:abstractNumId w:val="115"/>
  </w:num>
  <w:num w:numId="34" w16cid:durableId="1783650459">
    <w:abstractNumId w:val="21"/>
  </w:num>
  <w:num w:numId="35" w16cid:durableId="1067191836">
    <w:abstractNumId w:val="4"/>
  </w:num>
  <w:num w:numId="36" w16cid:durableId="750353415">
    <w:abstractNumId w:val="117"/>
  </w:num>
  <w:num w:numId="37" w16cid:durableId="790242138">
    <w:abstractNumId w:val="142"/>
  </w:num>
  <w:num w:numId="38" w16cid:durableId="1183595892">
    <w:abstractNumId w:val="131"/>
  </w:num>
  <w:num w:numId="39" w16cid:durableId="1105081865">
    <w:abstractNumId w:val="104"/>
  </w:num>
  <w:num w:numId="40" w16cid:durableId="1045985436">
    <w:abstractNumId w:val="70"/>
  </w:num>
  <w:num w:numId="41" w16cid:durableId="1918241582">
    <w:abstractNumId w:val="75"/>
  </w:num>
  <w:num w:numId="42" w16cid:durableId="1747263038">
    <w:abstractNumId w:val="9"/>
  </w:num>
  <w:num w:numId="43" w16cid:durableId="967123831">
    <w:abstractNumId w:val="140"/>
  </w:num>
  <w:num w:numId="44" w16cid:durableId="1180201026">
    <w:abstractNumId w:val="111"/>
  </w:num>
  <w:num w:numId="45" w16cid:durableId="1471626831">
    <w:abstractNumId w:val="154"/>
  </w:num>
  <w:num w:numId="46" w16cid:durableId="1378894592">
    <w:abstractNumId w:val="15"/>
  </w:num>
  <w:num w:numId="47" w16cid:durableId="895705836">
    <w:abstractNumId w:val="42"/>
  </w:num>
  <w:num w:numId="48" w16cid:durableId="1342974596">
    <w:abstractNumId w:val="79"/>
  </w:num>
  <w:num w:numId="49" w16cid:durableId="2115707214">
    <w:abstractNumId w:val="109"/>
  </w:num>
  <w:num w:numId="50" w16cid:durableId="773868843">
    <w:abstractNumId w:val="119"/>
  </w:num>
  <w:num w:numId="51" w16cid:durableId="1591155289">
    <w:abstractNumId w:val="77"/>
  </w:num>
  <w:num w:numId="52" w16cid:durableId="332071341">
    <w:abstractNumId w:val="158"/>
  </w:num>
  <w:num w:numId="53" w16cid:durableId="147289884">
    <w:abstractNumId w:val="3"/>
  </w:num>
  <w:num w:numId="54" w16cid:durableId="935286065">
    <w:abstractNumId w:val="58"/>
  </w:num>
  <w:num w:numId="55" w16cid:durableId="1004668126">
    <w:abstractNumId w:val="143"/>
  </w:num>
  <w:num w:numId="56" w16cid:durableId="2020421224">
    <w:abstractNumId w:val="118"/>
  </w:num>
  <w:num w:numId="57" w16cid:durableId="1725717315">
    <w:abstractNumId w:val="172"/>
  </w:num>
  <w:num w:numId="58" w16cid:durableId="177432467">
    <w:abstractNumId w:val="113"/>
  </w:num>
  <w:num w:numId="59" w16cid:durableId="29766829">
    <w:abstractNumId w:val="69"/>
  </w:num>
  <w:num w:numId="60" w16cid:durableId="2078085095">
    <w:abstractNumId w:val="10"/>
  </w:num>
  <w:num w:numId="61" w16cid:durableId="1364131961">
    <w:abstractNumId w:val="78"/>
  </w:num>
  <w:num w:numId="62" w16cid:durableId="1992174323">
    <w:abstractNumId w:val="122"/>
  </w:num>
  <w:num w:numId="63" w16cid:durableId="219905556">
    <w:abstractNumId w:val="123"/>
  </w:num>
  <w:num w:numId="64" w16cid:durableId="388571815">
    <w:abstractNumId w:val="14"/>
  </w:num>
  <w:num w:numId="65" w16cid:durableId="540291371">
    <w:abstractNumId w:val="8"/>
  </w:num>
  <w:num w:numId="66" w16cid:durableId="1931740259">
    <w:abstractNumId w:val="5"/>
  </w:num>
  <w:num w:numId="67" w16cid:durableId="149106543">
    <w:abstractNumId w:val="168"/>
  </w:num>
  <w:num w:numId="68" w16cid:durableId="800457815">
    <w:abstractNumId w:val="127"/>
  </w:num>
  <w:num w:numId="69" w16cid:durableId="512962368">
    <w:abstractNumId w:val="71"/>
  </w:num>
  <w:num w:numId="70" w16cid:durableId="26027240">
    <w:abstractNumId w:val="149"/>
  </w:num>
  <w:num w:numId="71" w16cid:durableId="1418676942">
    <w:abstractNumId w:val="41"/>
  </w:num>
  <w:num w:numId="72" w16cid:durableId="1226140578">
    <w:abstractNumId w:val="164"/>
  </w:num>
  <w:num w:numId="73" w16cid:durableId="735475841">
    <w:abstractNumId w:val="159"/>
  </w:num>
  <w:num w:numId="74" w16cid:durableId="285544739">
    <w:abstractNumId w:val="155"/>
  </w:num>
  <w:num w:numId="75" w16cid:durableId="890118445">
    <w:abstractNumId w:val="40"/>
  </w:num>
  <w:num w:numId="76" w16cid:durableId="1731734390">
    <w:abstractNumId w:val="138"/>
  </w:num>
  <w:num w:numId="77" w16cid:durableId="1645355843">
    <w:abstractNumId w:val="166"/>
  </w:num>
  <w:num w:numId="78" w16cid:durableId="2098747789">
    <w:abstractNumId w:val="171"/>
  </w:num>
  <w:num w:numId="79" w16cid:durableId="613634967">
    <w:abstractNumId w:val="96"/>
  </w:num>
  <w:num w:numId="80" w16cid:durableId="67115178">
    <w:abstractNumId w:val="7"/>
  </w:num>
  <w:num w:numId="81" w16cid:durableId="698238272">
    <w:abstractNumId w:val="112"/>
  </w:num>
  <w:num w:numId="82" w16cid:durableId="1032532295">
    <w:abstractNumId w:val="162"/>
  </w:num>
  <w:num w:numId="83" w16cid:durableId="1296376443">
    <w:abstractNumId w:val="43"/>
  </w:num>
  <w:num w:numId="84" w16cid:durableId="1464229342">
    <w:abstractNumId w:val="161"/>
  </w:num>
  <w:num w:numId="85" w16cid:durableId="119307986">
    <w:abstractNumId w:val="95"/>
  </w:num>
  <w:num w:numId="86" w16cid:durableId="341974982">
    <w:abstractNumId w:val="29"/>
  </w:num>
  <w:num w:numId="87" w16cid:durableId="1312369386">
    <w:abstractNumId w:val="61"/>
  </w:num>
  <w:num w:numId="88" w16cid:durableId="2140831127">
    <w:abstractNumId w:val="34"/>
  </w:num>
  <w:num w:numId="89" w16cid:durableId="46879816">
    <w:abstractNumId w:val="121"/>
  </w:num>
  <w:num w:numId="90" w16cid:durableId="1544099364">
    <w:abstractNumId w:val="18"/>
  </w:num>
  <w:num w:numId="91" w16cid:durableId="915475253">
    <w:abstractNumId w:val="45"/>
  </w:num>
  <w:num w:numId="92" w16cid:durableId="2077972286">
    <w:abstractNumId w:val="28"/>
  </w:num>
  <w:num w:numId="93" w16cid:durableId="1741638995">
    <w:abstractNumId w:val="84"/>
  </w:num>
  <w:num w:numId="94" w16cid:durableId="263417087">
    <w:abstractNumId w:val="83"/>
  </w:num>
  <w:num w:numId="95" w16cid:durableId="1074931211">
    <w:abstractNumId w:val="107"/>
  </w:num>
  <w:num w:numId="96" w16cid:durableId="1797867486">
    <w:abstractNumId w:val="32"/>
  </w:num>
  <w:num w:numId="97" w16cid:durableId="1812288701">
    <w:abstractNumId w:val="97"/>
  </w:num>
  <w:num w:numId="98" w16cid:durableId="1389299061">
    <w:abstractNumId w:val="56"/>
  </w:num>
  <w:num w:numId="99" w16cid:durableId="354305529">
    <w:abstractNumId w:val="16"/>
  </w:num>
  <w:num w:numId="100" w16cid:durableId="154691180">
    <w:abstractNumId w:val="68"/>
  </w:num>
  <w:num w:numId="101" w16cid:durableId="1449206188">
    <w:abstractNumId w:val="170"/>
  </w:num>
  <w:num w:numId="102" w16cid:durableId="803236371">
    <w:abstractNumId w:val="150"/>
  </w:num>
  <w:num w:numId="103" w16cid:durableId="785851952">
    <w:abstractNumId w:val="52"/>
  </w:num>
  <w:num w:numId="104" w16cid:durableId="1545409722">
    <w:abstractNumId w:val="49"/>
  </w:num>
  <w:num w:numId="105" w16cid:durableId="847138927">
    <w:abstractNumId w:val="135"/>
  </w:num>
  <w:num w:numId="106" w16cid:durableId="519389571">
    <w:abstractNumId w:val="90"/>
  </w:num>
  <w:num w:numId="107" w16cid:durableId="1803959273">
    <w:abstractNumId w:val="163"/>
  </w:num>
  <w:num w:numId="108" w16cid:durableId="1834374203">
    <w:abstractNumId w:val="30"/>
  </w:num>
  <w:num w:numId="109" w16cid:durableId="1577132472">
    <w:abstractNumId w:val="17"/>
  </w:num>
  <w:num w:numId="110" w16cid:durableId="484972200">
    <w:abstractNumId w:val="103"/>
  </w:num>
  <w:num w:numId="111" w16cid:durableId="311518703">
    <w:abstractNumId w:val="137"/>
  </w:num>
  <w:num w:numId="112" w16cid:durableId="208953005">
    <w:abstractNumId w:val="86"/>
  </w:num>
  <w:num w:numId="113" w16cid:durableId="1124346469">
    <w:abstractNumId w:val="100"/>
  </w:num>
  <w:num w:numId="114" w16cid:durableId="1456824137">
    <w:abstractNumId w:val="23"/>
  </w:num>
  <w:num w:numId="115" w16cid:durableId="1372421034">
    <w:abstractNumId w:val="66"/>
  </w:num>
  <w:num w:numId="116" w16cid:durableId="1978992609">
    <w:abstractNumId w:val="157"/>
  </w:num>
  <w:num w:numId="117" w16cid:durableId="15736158">
    <w:abstractNumId w:val="153"/>
  </w:num>
  <w:num w:numId="118" w16cid:durableId="919370150">
    <w:abstractNumId w:val="106"/>
  </w:num>
  <w:num w:numId="119" w16cid:durableId="2104108955">
    <w:abstractNumId w:val="62"/>
  </w:num>
  <w:num w:numId="120" w16cid:durableId="1823306742">
    <w:abstractNumId w:val="53"/>
  </w:num>
  <w:num w:numId="121" w16cid:durableId="148251547">
    <w:abstractNumId w:val="147"/>
  </w:num>
  <w:num w:numId="122" w16cid:durableId="1529296256">
    <w:abstractNumId w:val="24"/>
  </w:num>
  <w:num w:numId="123" w16cid:durableId="1454053225">
    <w:abstractNumId w:val="59"/>
  </w:num>
  <w:num w:numId="124" w16cid:durableId="763379385">
    <w:abstractNumId w:val="76"/>
  </w:num>
  <w:num w:numId="125" w16cid:durableId="349719030">
    <w:abstractNumId w:val="144"/>
  </w:num>
  <w:num w:numId="126" w16cid:durableId="393546006">
    <w:abstractNumId w:val="72"/>
  </w:num>
  <w:num w:numId="127" w16cid:durableId="1591809690">
    <w:abstractNumId w:val="55"/>
  </w:num>
  <w:num w:numId="128" w16cid:durableId="1313679332">
    <w:abstractNumId w:val="2"/>
  </w:num>
  <w:num w:numId="129" w16cid:durableId="1541741781">
    <w:abstractNumId w:val="38"/>
  </w:num>
  <w:num w:numId="130" w16cid:durableId="2010211462">
    <w:abstractNumId w:val="93"/>
  </w:num>
  <w:num w:numId="131" w16cid:durableId="1792821203">
    <w:abstractNumId w:val="82"/>
  </w:num>
  <w:num w:numId="132" w16cid:durableId="405959582">
    <w:abstractNumId w:val="44"/>
  </w:num>
  <w:num w:numId="133" w16cid:durableId="718823741">
    <w:abstractNumId w:val="74"/>
  </w:num>
  <w:num w:numId="134" w16cid:durableId="567689619">
    <w:abstractNumId w:val="63"/>
  </w:num>
  <w:num w:numId="135" w16cid:durableId="599685838">
    <w:abstractNumId w:val="129"/>
  </w:num>
  <w:num w:numId="136" w16cid:durableId="337315362">
    <w:abstractNumId w:val="22"/>
  </w:num>
  <w:num w:numId="137" w16cid:durableId="1521428978">
    <w:abstractNumId w:val="139"/>
  </w:num>
  <w:num w:numId="138" w16cid:durableId="1673070059">
    <w:abstractNumId w:val="110"/>
  </w:num>
  <w:num w:numId="139" w16cid:durableId="496772344">
    <w:abstractNumId w:val="88"/>
  </w:num>
  <w:num w:numId="140" w16cid:durableId="1364014018">
    <w:abstractNumId w:val="169"/>
  </w:num>
  <w:num w:numId="141" w16cid:durableId="536937460">
    <w:abstractNumId w:val="89"/>
  </w:num>
  <w:num w:numId="142" w16cid:durableId="839658926">
    <w:abstractNumId w:val="94"/>
  </w:num>
  <w:num w:numId="143" w16cid:durableId="1903514827">
    <w:abstractNumId w:val="35"/>
  </w:num>
  <w:num w:numId="144" w16cid:durableId="626205099">
    <w:abstractNumId w:val="67"/>
  </w:num>
  <w:num w:numId="145" w16cid:durableId="795830387">
    <w:abstractNumId w:val="126"/>
  </w:num>
  <w:num w:numId="146" w16cid:durableId="2075934848">
    <w:abstractNumId w:val="116"/>
  </w:num>
  <w:num w:numId="147" w16cid:durableId="1692534991">
    <w:abstractNumId w:val="87"/>
  </w:num>
  <w:num w:numId="148" w16cid:durableId="1869834412">
    <w:abstractNumId w:val="167"/>
  </w:num>
  <w:num w:numId="149" w16cid:durableId="637610953">
    <w:abstractNumId w:val="120"/>
  </w:num>
  <w:num w:numId="150" w16cid:durableId="569653509">
    <w:abstractNumId w:val="0"/>
  </w:num>
  <w:num w:numId="151" w16cid:durableId="1193153023">
    <w:abstractNumId w:val="80"/>
  </w:num>
  <w:num w:numId="152" w16cid:durableId="779253808">
    <w:abstractNumId w:val="13"/>
  </w:num>
  <w:num w:numId="153" w16cid:durableId="897085679">
    <w:abstractNumId w:val="39"/>
  </w:num>
  <w:num w:numId="154" w16cid:durableId="74329167">
    <w:abstractNumId w:val="128"/>
  </w:num>
  <w:num w:numId="155" w16cid:durableId="1350183108">
    <w:abstractNumId w:val="31"/>
  </w:num>
  <w:num w:numId="156" w16cid:durableId="589047445">
    <w:abstractNumId w:val="60"/>
  </w:num>
  <w:num w:numId="157" w16cid:durableId="1370177957">
    <w:abstractNumId w:val="98"/>
  </w:num>
  <w:num w:numId="158" w16cid:durableId="171339635">
    <w:abstractNumId w:val="27"/>
  </w:num>
  <w:num w:numId="159" w16cid:durableId="546333843">
    <w:abstractNumId w:val="108"/>
  </w:num>
  <w:num w:numId="160" w16cid:durableId="1085344740">
    <w:abstractNumId w:val="25"/>
  </w:num>
  <w:num w:numId="161" w16cid:durableId="319773429">
    <w:abstractNumId w:val="114"/>
  </w:num>
  <w:num w:numId="162" w16cid:durableId="1090467450">
    <w:abstractNumId w:val="81"/>
  </w:num>
  <w:num w:numId="163" w16cid:durableId="1128623554">
    <w:abstractNumId w:val="20"/>
  </w:num>
  <w:num w:numId="164" w16cid:durableId="1272010530">
    <w:abstractNumId w:val="148"/>
  </w:num>
  <w:num w:numId="165" w16cid:durableId="470175988">
    <w:abstractNumId w:val="146"/>
  </w:num>
  <w:num w:numId="166" w16cid:durableId="1664119242">
    <w:abstractNumId w:val="130"/>
  </w:num>
  <w:num w:numId="167" w16cid:durableId="1574507740">
    <w:abstractNumId w:val="65"/>
  </w:num>
  <w:num w:numId="168" w16cid:durableId="766075669">
    <w:abstractNumId w:val="134"/>
  </w:num>
  <w:num w:numId="169" w16cid:durableId="3947464">
    <w:abstractNumId w:val="141"/>
  </w:num>
  <w:num w:numId="170" w16cid:durableId="733747215">
    <w:abstractNumId w:val="165"/>
  </w:num>
  <w:num w:numId="171" w16cid:durableId="86195521">
    <w:abstractNumId w:val="54"/>
  </w:num>
  <w:num w:numId="172" w16cid:durableId="42104434">
    <w:abstractNumId w:val="51"/>
  </w:num>
  <w:num w:numId="173" w16cid:durableId="1974099567">
    <w:abstractNumId w:val="1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A46"/>
    <w:rsid w:val="000B492E"/>
    <w:rsid w:val="000E3E3A"/>
    <w:rsid w:val="00140F6C"/>
    <w:rsid w:val="003344F9"/>
    <w:rsid w:val="003D6F44"/>
    <w:rsid w:val="003F24E7"/>
    <w:rsid w:val="00455757"/>
    <w:rsid w:val="005746D8"/>
    <w:rsid w:val="005E1AF5"/>
    <w:rsid w:val="00611418"/>
    <w:rsid w:val="00661BC8"/>
    <w:rsid w:val="00667317"/>
    <w:rsid w:val="006C61B9"/>
    <w:rsid w:val="007456F6"/>
    <w:rsid w:val="00751D46"/>
    <w:rsid w:val="007A40C8"/>
    <w:rsid w:val="007E6061"/>
    <w:rsid w:val="007E77F9"/>
    <w:rsid w:val="00814F19"/>
    <w:rsid w:val="008635A2"/>
    <w:rsid w:val="00866D0E"/>
    <w:rsid w:val="009746C3"/>
    <w:rsid w:val="009C1249"/>
    <w:rsid w:val="00B270BD"/>
    <w:rsid w:val="00B34F5C"/>
    <w:rsid w:val="00B4191E"/>
    <w:rsid w:val="00B62878"/>
    <w:rsid w:val="00CC7411"/>
    <w:rsid w:val="00CD3762"/>
    <w:rsid w:val="00D43CE2"/>
    <w:rsid w:val="00EC0ECA"/>
    <w:rsid w:val="00EE2A46"/>
    <w:rsid w:val="00F02625"/>
    <w:rsid w:val="00F8515D"/>
    <w:rsid w:val="00F86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0D38E"/>
  <w15:chartTrackingRefBased/>
  <w15:docId w15:val="{5C58EC3E-C2A1-4BF6-9E65-744258A74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A46"/>
  </w:style>
  <w:style w:type="paragraph" w:styleId="Heading1">
    <w:name w:val="heading 1"/>
    <w:basedOn w:val="Normal"/>
    <w:next w:val="Normal"/>
    <w:link w:val="Heading1Char"/>
    <w:uiPriority w:val="9"/>
    <w:qFormat/>
    <w:rsid w:val="00EE2A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E2A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2A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2A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2A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2A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2A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2A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2A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2A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E2A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2A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2A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2A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2A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2A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2A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2A46"/>
    <w:rPr>
      <w:rFonts w:eastAsiaTheme="majorEastAsia" w:cstheme="majorBidi"/>
      <w:color w:val="272727" w:themeColor="text1" w:themeTint="D8"/>
    </w:rPr>
  </w:style>
  <w:style w:type="paragraph" w:styleId="Title">
    <w:name w:val="Title"/>
    <w:basedOn w:val="Normal"/>
    <w:next w:val="Normal"/>
    <w:link w:val="TitleChar"/>
    <w:uiPriority w:val="10"/>
    <w:qFormat/>
    <w:rsid w:val="00EE2A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2A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2A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2A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2A46"/>
    <w:pPr>
      <w:spacing w:before="160"/>
      <w:jc w:val="center"/>
    </w:pPr>
    <w:rPr>
      <w:i/>
      <w:iCs/>
      <w:color w:val="404040" w:themeColor="text1" w:themeTint="BF"/>
    </w:rPr>
  </w:style>
  <w:style w:type="character" w:customStyle="1" w:styleId="QuoteChar">
    <w:name w:val="Quote Char"/>
    <w:basedOn w:val="DefaultParagraphFont"/>
    <w:link w:val="Quote"/>
    <w:uiPriority w:val="29"/>
    <w:rsid w:val="00EE2A46"/>
    <w:rPr>
      <w:i/>
      <w:iCs/>
      <w:color w:val="404040" w:themeColor="text1" w:themeTint="BF"/>
    </w:rPr>
  </w:style>
  <w:style w:type="paragraph" w:styleId="ListParagraph">
    <w:name w:val="List Paragraph"/>
    <w:basedOn w:val="Normal"/>
    <w:uiPriority w:val="34"/>
    <w:qFormat/>
    <w:rsid w:val="00EE2A46"/>
    <w:pPr>
      <w:ind w:left="720"/>
      <w:contextualSpacing/>
    </w:pPr>
  </w:style>
  <w:style w:type="character" w:styleId="IntenseEmphasis">
    <w:name w:val="Intense Emphasis"/>
    <w:basedOn w:val="DefaultParagraphFont"/>
    <w:uiPriority w:val="21"/>
    <w:qFormat/>
    <w:rsid w:val="00EE2A46"/>
    <w:rPr>
      <w:i/>
      <w:iCs/>
      <w:color w:val="0F4761" w:themeColor="accent1" w:themeShade="BF"/>
    </w:rPr>
  </w:style>
  <w:style w:type="paragraph" w:styleId="IntenseQuote">
    <w:name w:val="Intense Quote"/>
    <w:basedOn w:val="Normal"/>
    <w:next w:val="Normal"/>
    <w:link w:val="IntenseQuoteChar"/>
    <w:uiPriority w:val="30"/>
    <w:qFormat/>
    <w:rsid w:val="00EE2A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2A46"/>
    <w:rPr>
      <w:i/>
      <w:iCs/>
      <w:color w:val="0F4761" w:themeColor="accent1" w:themeShade="BF"/>
    </w:rPr>
  </w:style>
  <w:style w:type="character" w:styleId="IntenseReference">
    <w:name w:val="Intense Reference"/>
    <w:basedOn w:val="DefaultParagraphFont"/>
    <w:uiPriority w:val="32"/>
    <w:qFormat/>
    <w:rsid w:val="00EE2A46"/>
    <w:rPr>
      <w:b/>
      <w:bCs/>
      <w:smallCaps/>
      <w:color w:val="0F4761" w:themeColor="accent1" w:themeShade="BF"/>
      <w:spacing w:val="5"/>
    </w:rPr>
  </w:style>
  <w:style w:type="character" w:styleId="Hyperlink">
    <w:name w:val="Hyperlink"/>
    <w:basedOn w:val="DefaultParagraphFont"/>
    <w:uiPriority w:val="99"/>
    <w:unhideWhenUsed/>
    <w:rsid w:val="00D43CE2"/>
    <w:rPr>
      <w:color w:val="467886" w:themeColor="hyperlink"/>
      <w:u w:val="single"/>
    </w:rPr>
  </w:style>
  <w:style w:type="character" w:styleId="UnresolvedMention">
    <w:name w:val="Unresolved Mention"/>
    <w:basedOn w:val="DefaultParagraphFont"/>
    <w:uiPriority w:val="99"/>
    <w:semiHidden/>
    <w:unhideWhenUsed/>
    <w:rsid w:val="00D43CE2"/>
    <w:rPr>
      <w:color w:val="605E5C"/>
      <w:shd w:val="clear" w:color="auto" w:fill="E1DFDD"/>
    </w:rPr>
  </w:style>
  <w:style w:type="paragraph" w:styleId="TOC1">
    <w:name w:val="toc 1"/>
    <w:basedOn w:val="Normal"/>
    <w:next w:val="Normal"/>
    <w:autoRedefine/>
    <w:uiPriority w:val="39"/>
    <w:unhideWhenUsed/>
    <w:rsid w:val="00661BC8"/>
    <w:pPr>
      <w:spacing w:after="100"/>
    </w:pPr>
  </w:style>
  <w:style w:type="paragraph" w:styleId="Header">
    <w:name w:val="header"/>
    <w:basedOn w:val="Normal"/>
    <w:link w:val="HeaderChar"/>
    <w:uiPriority w:val="99"/>
    <w:unhideWhenUsed/>
    <w:rsid w:val="00CD37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762"/>
  </w:style>
  <w:style w:type="paragraph" w:styleId="Footer">
    <w:name w:val="footer"/>
    <w:basedOn w:val="Normal"/>
    <w:link w:val="FooterChar"/>
    <w:uiPriority w:val="99"/>
    <w:unhideWhenUsed/>
    <w:rsid w:val="00CD37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7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n.wikipedia.org/wiki/Bourse_du_Travail?utm_source=chatgpt.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reativecommons.org/licenses/by-nc-sa/4.0/" TargetMode="External"/><Relationship Id="rId12" Type="http://schemas.openxmlformats.org/officeDocument/2006/relationships/hyperlink" Target="https://en.wikipedia.org/wiki/Library_War_Service?utm_source=chatgpt.com"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platypus1917.org/wp-content/uploads/Georges-Sorel-Reflections-on-Violence-Cambridge-University-Press-1999.pdf?utm_source=chatgpt.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Pack_Horse_Library_Project?utm_source=chatgpt.com" TargetMode="External"/><Relationship Id="rId5" Type="http://schemas.openxmlformats.org/officeDocument/2006/relationships/footnotes" Target="footnotes.xml"/><Relationship Id="rId15" Type="http://schemas.openxmlformats.org/officeDocument/2006/relationships/hyperlink" Target="https://en.wikipedia.org/wiki/Bourse_du_Travail?utm_source=chatgpt.com" TargetMode="External"/><Relationship Id="rId10" Type="http://schemas.openxmlformats.org/officeDocument/2006/relationships/hyperlink" Target="https://en.wikipedia.org/wiki/Carnegie_library?utm_source=chatgpt.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creativecommons.org/licenses/by-nc-sa/4.0/" TargetMode="External"/><Relationship Id="rId14" Type="http://schemas.openxmlformats.org/officeDocument/2006/relationships/hyperlink" Target="https://en.wikipedia.org/wiki/Bourse_du_Travail?utm_source=chatgpt.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rwb@esdi.us" TargetMode="External"/><Relationship Id="rId1" Type="http://schemas.openxmlformats.org/officeDocument/2006/relationships/hyperlink" Target="https://esdi.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14</Pages>
  <Words>5594</Words>
  <Characters>31887</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Brown</dc:creator>
  <cp:keywords/>
  <dc:description/>
  <cp:lastModifiedBy>Richard Brown</cp:lastModifiedBy>
  <cp:revision>2</cp:revision>
  <dcterms:created xsi:type="dcterms:W3CDTF">2026-02-27T01:17:00Z</dcterms:created>
  <dcterms:modified xsi:type="dcterms:W3CDTF">2026-02-27T01:17:00Z</dcterms:modified>
</cp:coreProperties>
</file>